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bottom w:color="000000" w:space="1" w:sz="4" w:val="single"/>
        </w:pBdr>
        <w:jc w:val="center"/>
        <w:rPr>
          <w:b w:val="1"/>
          <w:sz w:val="32"/>
          <w:szCs w:val="32"/>
        </w:rPr>
      </w:pPr>
      <w:r w:rsidDel="00000000" w:rsidR="00000000" w:rsidRPr="00000000">
        <w:rPr>
          <w:b w:val="1"/>
          <w:sz w:val="32"/>
          <w:szCs w:val="32"/>
          <w:rtl w:val="0"/>
        </w:rPr>
        <w:t xml:space="preserve">ICAZ Stable Isotopes in Zooarchaeology Working Group</w:t>
      </w:r>
    </w:p>
    <w:p w:rsidR="00000000" w:rsidDel="00000000" w:rsidP="00000000" w:rsidRDefault="00000000" w:rsidRPr="00000000" w14:paraId="00000002">
      <w:pPr>
        <w:pBdr>
          <w:bottom w:color="000000" w:space="1" w:sz="4" w:val="single"/>
        </w:pBdr>
        <w:jc w:val="center"/>
        <w:rPr>
          <w:b w:val="1"/>
          <w:sz w:val="32"/>
          <w:szCs w:val="32"/>
        </w:rPr>
      </w:pPr>
      <w:r w:rsidDel="00000000" w:rsidR="00000000" w:rsidRPr="00000000">
        <w:rPr>
          <w:rtl w:val="0"/>
        </w:rPr>
      </w:r>
    </w:p>
    <w:p w:rsidR="00000000" w:rsidDel="00000000" w:rsidP="00000000" w:rsidRDefault="00000000" w:rsidRPr="00000000" w14:paraId="00000003">
      <w:pPr>
        <w:pBdr>
          <w:bottom w:color="000000" w:space="1" w:sz="4" w:val="single"/>
        </w:pBdr>
        <w:jc w:val="center"/>
        <w:rPr>
          <w:b w:val="1"/>
          <w:sz w:val="32"/>
          <w:szCs w:val="32"/>
        </w:rPr>
      </w:pPr>
      <w:r w:rsidDel="00000000" w:rsidR="00000000" w:rsidRPr="00000000">
        <w:rPr>
          <w:b w:val="1"/>
          <w:sz w:val="32"/>
          <w:szCs w:val="32"/>
          <w:rtl w:val="0"/>
        </w:rPr>
        <w:t xml:space="preserve">Beyond the baseline: Broadening stable isotopic horizons in zooarchaeology</w:t>
      </w:r>
    </w:p>
    <w:p w:rsidR="00000000" w:rsidDel="00000000" w:rsidP="00000000" w:rsidRDefault="00000000" w:rsidRPr="00000000" w14:paraId="00000004">
      <w:pPr>
        <w:pBdr>
          <w:bottom w:color="000000" w:space="1" w:sz="4" w:val="single"/>
        </w:pBdr>
        <w:jc w:val="both"/>
        <w:rPr>
          <w:b w:val="1"/>
          <w:sz w:val="32"/>
          <w:szCs w:val="32"/>
        </w:rPr>
      </w:pPr>
      <w:r w:rsidDel="00000000" w:rsidR="00000000" w:rsidRPr="00000000">
        <w:rPr>
          <w:b w:val="1"/>
          <w:sz w:val="32"/>
          <w:szCs w:val="32"/>
        </w:rPr>
        <w:drawing>
          <wp:inline distB="0" distT="0" distL="0" distR="0">
            <wp:extent cx="5664101" cy="5664101"/>
            <wp:effectExtent b="0" l="0" r="0" t="0"/>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664101" cy="5664101"/>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Bdr>
          <w:bottom w:color="000000" w:space="1" w:sz="4" w:val="single"/>
        </w:pBdr>
        <w:jc w:val="both"/>
        <w:rPr>
          <w:b w:val="1"/>
          <w:sz w:val="32"/>
          <w:szCs w:val="32"/>
        </w:rPr>
      </w:pPr>
      <w:r w:rsidDel="00000000" w:rsidR="00000000" w:rsidRPr="00000000">
        <w:rPr>
          <w:rtl w:val="0"/>
        </w:rPr>
      </w:r>
    </w:p>
    <w:p w:rsidR="00000000" w:rsidDel="00000000" w:rsidP="00000000" w:rsidRDefault="00000000" w:rsidRPr="00000000" w14:paraId="00000006">
      <w:pPr>
        <w:pBdr>
          <w:bottom w:color="000000" w:space="1" w:sz="4" w:val="single"/>
        </w:pBdr>
        <w:jc w:val="both"/>
        <w:rPr>
          <w:b w:val="1"/>
          <w:sz w:val="32"/>
          <w:szCs w:val="32"/>
        </w:rPr>
      </w:pPr>
      <w:r w:rsidDel="00000000" w:rsidR="00000000" w:rsidRPr="00000000">
        <w:rPr>
          <w:rtl w:val="0"/>
        </w:rPr>
      </w:r>
    </w:p>
    <w:p w:rsidR="00000000" w:rsidDel="00000000" w:rsidP="00000000" w:rsidRDefault="00000000" w:rsidRPr="00000000" w14:paraId="00000007">
      <w:pPr>
        <w:pBdr>
          <w:bottom w:color="000000" w:space="1" w:sz="4" w:val="single"/>
        </w:pBdr>
        <w:jc w:val="both"/>
        <w:rPr>
          <w:b w:val="1"/>
          <w:sz w:val="32"/>
          <w:szCs w:val="32"/>
        </w:rPr>
      </w:pPr>
      <w:r w:rsidDel="00000000" w:rsidR="00000000" w:rsidRPr="00000000">
        <w:rPr>
          <w:rtl w:val="0"/>
        </w:rPr>
      </w:r>
    </w:p>
    <w:p w:rsidR="00000000" w:rsidDel="00000000" w:rsidP="00000000" w:rsidRDefault="00000000" w:rsidRPr="00000000" w14:paraId="00000008">
      <w:pPr>
        <w:pBdr>
          <w:bottom w:color="000000" w:space="1" w:sz="4" w:val="single"/>
        </w:pBdr>
        <w:rPr>
          <w:b w:val="1"/>
          <w:sz w:val="26"/>
          <w:szCs w:val="26"/>
        </w:rPr>
      </w:pPr>
      <w:r w:rsidDel="00000000" w:rsidR="00000000" w:rsidRPr="00000000">
        <w:rPr>
          <w:b w:val="1"/>
          <w:sz w:val="32"/>
          <w:szCs w:val="32"/>
        </w:rPr>
        <w:drawing>
          <wp:inline distB="0" distT="0" distL="0" distR="0">
            <wp:extent cx="6643688" cy="989088"/>
            <wp:effectExtent b="0" l="0" r="0" t="0"/>
            <wp:docPr id="4" name="image1.png"/>
            <a:graphic>
              <a:graphicData uri="http://schemas.openxmlformats.org/drawingml/2006/picture">
                <pic:pic>
                  <pic:nvPicPr>
                    <pic:cNvPr id="0" name="image1.png"/>
                    <pic:cNvPicPr preferRelativeResize="0"/>
                  </pic:nvPicPr>
                  <pic:blipFill>
                    <a:blip r:embed="rId8"/>
                    <a:srcRect b="16131" l="3991" r="3777" t="16131"/>
                    <a:stretch>
                      <a:fillRect/>
                    </a:stretch>
                  </pic:blipFill>
                  <pic:spPr>
                    <a:xfrm>
                      <a:off x="0" y="0"/>
                      <a:ext cx="6643688" cy="989088"/>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pBdr>
          <w:bottom w:color="000000" w:space="1" w:sz="4" w:val="single"/>
        </w:pBdr>
        <w:jc w:val="center"/>
        <w:rPr>
          <w:b w:val="1"/>
          <w:sz w:val="26"/>
          <w:szCs w:val="26"/>
        </w:rPr>
      </w:pPr>
      <w:r w:rsidDel="00000000" w:rsidR="00000000" w:rsidRPr="00000000">
        <w:rPr>
          <w:b w:val="1"/>
          <w:sz w:val="26"/>
          <w:szCs w:val="26"/>
          <w:rtl w:val="0"/>
        </w:rPr>
        <w:t xml:space="preserve">International Scientific Conference Program (outline, subject to changes),</w:t>
      </w:r>
    </w:p>
    <w:p w:rsidR="00000000" w:rsidDel="00000000" w:rsidP="00000000" w:rsidRDefault="00000000" w:rsidRPr="00000000" w14:paraId="0000000A">
      <w:pPr>
        <w:pBdr>
          <w:bottom w:color="000000" w:space="1" w:sz="4" w:val="single"/>
        </w:pBdr>
        <w:jc w:val="center"/>
        <w:rPr>
          <w:b w:val="1"/>
          <w:i w:val="1"/>
          <w:sz w:val="26"/>
          <w:szCs w:val="26"/>
        </w:rPr>
      </w:pPr>
      <w:r w:rsidDel="00000000" w:rsidR="00000000" w:rsidRPr="00000000">
        <w:rPr>
          <w:b w:val="1"/>
          <w:i w:val="1"/>
          <w:sz w:val="26"/>
          <w:szCs w:val="26"/>
          <w:rtl w:val="0"/>
        </w:rPr>
        <w:t xml:space="preserve">Beyond the baseline: Broadening stable isotopic horizons in zooarchaeology.</w:t>
      </w:r>
    </w:p>
    <w:p w:rsidR="00000000" w:rsidDel="00000000" w:rsidP="00000000" w:rsidRDefault="00000000" w:rsidRPr="00000000" w14:paraId="0000000B">
      <w:pPr>
        <w:pBdr>
          <w:bottom w:color="000000" w:space="1" w:sz="4" w:val="single"/>
        </w:pBdr>
        <w:jc w:val="center"/>
        <w:rPr/>
      </w:pPr>
      <w:r w:rsidDel="00000000" w:rsidR="00000000" w:rsidRPr="00000000">
        <w:rPr>
          <w:rtl w:val="0"/>
        </w:rPr>
      </w:r>
    </w:p>
    <w:p w:rsidR="00000000" w:rsidDel="00000000" w:rsidP="00000000" w:rsidRDefault="00000000" w:rsidRPr="00000000" w14:paraId="0000000C">
      <w:pPr>
        <w:pBdr>
          <w:bottom w:color="000000" w:space="1" w:sz="4" w:val="single"/>
        </w:pBdr>
        <w:jc w:val="center"/>
        <w:rPr>
          <w:b w:val="1"/>
        </w:rPr>
      </w:pPr>
      <w:r w:rsidDel="00000000" w:rsidR="00000000" w:rsidRPr="00000000">
        <w:rPr>
          <w:b w:val="1"/>
          <w:rtl w:val="0"/>
        </w:rPr>
        <w:t xml:space="preserve">22.03.23 to 25.03.23 (MfN/FU, Berlin)</w:t>
      </w:r>
    </w:p>
    <w:p w:rsidR="00000000" w:rsidDel="00000000" w:rsidP="00000000" w:rsidRDefault="00000000" w:rsidRPr="00000000" w14:paraId="0000000D">
      <w:pPr>
        <w:pBdr>
          <w:bottom w:color="000000" w:space="1" w:sz="4" w:val="single"/>
        </w:pBdr>
        <w:jc w:val="both"/>
        <w:rPr>
          <w:b w:val="1"/>
          <w:i w:val="1"/>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jc w:val="center"/>
        <w:rPr>
          <w:b w:val="1"/>
          <w:sz w:val="24"/>
          <w:szCs w:val="24"/>
          <w:u w:val="single"/>
        </w:rPr>
      </w:pPr>
      <w:r w:rsidDel="00000000" w:rsidR="00000000" w:rsidRPr="00000000">
        <w:rPr>
          <w:rtl w:val="0"/>
        </w:rPr>
      </w:r>
    </w:p>
    <w:p w:rsidR="00000000" w:rsidDel="00000000" w:rsidP="00000000" w:rsidRDefault="00000000" w:rsidRPr="00000000" w14:paraId="00000010">
      <w:pPr>
        <w:jc w:val="center"/>
        <w:rPr>
          <w:b w:val="1"/>
          <w:sz w:val="24"/>
          <w:szCs w:val="24"/>
          <w:u w:val="single"/>
        </w:rPr>
      </w:pPr>
      <w:r w:rsidDel="00000000" w:rsidR="00000000" w:rsidRPr="00000000">
        <w:rPr>
          <w:b w:val="1"/>
          <w:sz w:val="24"/>
          <w:szCs w:val="24"/>
          <w:u w:val="single"/>
          <w:rtl w:val="0"/>
        </w:rPr>
        <w:t xml:space="preserve">Wednesday 22nd March, Museum für Naturkunde</w:t>
      </w:r>
    </w:p>
    <w:p w:rsidR="00000000" w:rsidDel="00000000" w:rsidP="00000000" w:rsidRDefault="00000000" w:rsidRPr="00000000" w14:paraId="00000011">
      <w:pPr>
        <w:rPr>
          <w:b w:val="1"/>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18.00</w:t>
      </w:r>
      <w:r w:rsidDel="00000000" w:rsidR="00000000" w:rsidRPr="00000000">
        <w:rPr>
          <w:rtl w:val="0"/>
        </w:rPr>
        <w:t xml:space="preserve">: Welcome reception with keynote talks from: </w:t>
      </w:r>
      <w:r w:rsidDel="00000000" w:rsidR="00000000" w:rsidRPr="00000000">
        <w:rPr>
          <w:rtl w:val="0"/>
        </w:rPr>
      </w:r>
    </w:p>
    <w:p w:rsidR="00000000" w:rsidDel="00000000" w:rsidP="00000000" w:rsidRDefault="00000000" w:rsidRPr="00000000" w14:paraId="00000013">
      <w:pPr>
        <w:rPr>
          <w:b w:val="1"/>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Professor Julia Lee-Thorp (University of Oxford)</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242424"/>
          <w:sz w:val="22"/>
          <w:szCs w:val="22"/>
          <w:highlight w:val="white"/>
          <w:u w:val="none"/>
          <w:vertAlign w:val="baseline"/>
        </w:rPr>
      </w:pPr>
      <w:r w:rsidDel="00000000" w:rsidR="00000000" w:rsidRPr="00000000">
        <w:rPr>
          <w:rFonts w:ascii="Arial" w:cs="Arial" w:eastAsia="Arial" w:hAnsi="Arial"/>
          <w:b w:val="0"/>
          <w:i w:val="1"/>
          <w:smallCaps w:val="0"/>
          <w:strike w:val="0"/>
          <w:color w:val="242424"/>
          <w:sz w:val="22"/>
          <w:szCs w:val="22"/>
          <w:highlight w:val="white"/>
          <w:u w:val="none"/>
          <w:vertAlign w:val="baseline"/>
          <w:rtl w:val="0"/>
        </w:rPr>
        <w:t xml:space="preserve">Stable isotopes in biological apatites: what have we learnt over the last few decades?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Professor Christian Voigt (Leibniz Institute for Zoo and Wildlife research, Berlin)</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The nexus nature of stable isotopes: Linking the past with the present to predict the future.</w:t>
      </w:r>
    </w:p>
    <w:p w:rsidR="00000000" w:rsidDel="00000000" w:rsidP="00000000" w:rsidRDefault="00000000" w:rsidRPr="00000000" w14:paraId="00000019">
      <w:pPr>
        <w:rPr>
          <w:b w:val="1"/>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rtl w:val="0"/>
        </w:rPr>
      </w:r>
    </w:p>
    <w:p w:rsidR="00000000" w:rsidDel="00000000" w:rsidP="00000000" w:rsidRDefault="00000000" w:rsidRPr="00000000" w14:paraId="0000001B">
      <w:pPr>
        <w:jc w:val="center"/>
        <w:rPr>
          <w:b w:val="1"/>
          <w:sz w:val="24"/>
          <w:szCs w:val="24"/>
          <w:u w:val="single"/>
        </w:rPr>
      </w:pPr>
      <w:r w:rsidDel="00000000" w:rsidR="00000000" w:rsidRPr="00000000">
        <w:rPr>
          <w:rtl w:val="0"/>
        </w:rPr>
      </w:r>
    </w:p>
    <w:p w:rsidR="00000000" w:rsidDel="00000000" w:rsidP="00000000" w:rsidRDefault="00000000" w:rsidRPr="00000000" w14:paraId="0000001C">
      <w:pPr>
        <w:jc w:val="center"/>
        <w:rPr>
          <w:b w:val="1"/>
          <w:sz w:val="24"/>
          <w:szCs w:val="24"/>
          <w:u w:val="single"/>
        </w:rPr>
      </w:pPr>
      <w:r w:rsidDel="00000000" w:rsidR="00000000" w:rsidRPr="00000000">
        <w:rPr>
          <w:b w:val="1"/>
          <w:sz w:val="24"/>
          <w:szCs w:val="24"/>
          <w:u w:val="single"/>
          <w:rtl w:val="0"/>
        </w:rPr>
        <w:t xml:space="preserve">Thursday 23</w:t>
      </w:r>
      <w:r w:rsidDel="00000000" w:rsidR="00000000" w:rsidRPr="00000000">
        <w:rPr>
          <w:b w:val="1"/>
          <w:sz w:val="24"/>
          <w:szCs w:val="24"/>
          <w:u w:val="single"/>
          <w:vertAlign w:val="superscript"/>
          <w:rtl w:val="0"/>
        </w:rPr>
        <w:t xml:space="preserve">rd</w:t>
      </w:r>
      <w:r w:rsidDel="00000000" w:rsidR="00000000" w:rsidRPr="00000000">
        <w:rPr>
          <w:b w:val="1"/>
          <w:sz w:val="24"/>
          <w:szCs w:val="24"/>
          <w:u w:val="single"/>
          <w:rtl w:val="0"/>
        </w:rPr>
        <w:t xml:space="preserve"> March, Freie Universität/ Hybrid format</w:t>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9.00-9.15:</w:t>
      </w:r>
      <w:r w:rsidDel="00000000" w:rsidR="00000000" w:rsidRPr="00000000">
        <w:rPr>
          <w:rtl w:val="0"/>
        </w:rPr>
        <w:t xml:space="preserve"> Welcome, housekeeping etc. (Roz Gillis)</w:t>
      </w:r>
      <w:r w:rsidDel="00000000" w:rsidR="00000000" w:rsidRPr="00000000">
        <w:rPr>
          <w:rtl w:val="0"/>
        </w:rPr>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Session 1: State of the art, good practices, and ethical sampling</w:t>
      </w:r>
    </w:p>
    <w:p w:rsidR="00000000" w:rsidDel="00000000" w:rsidP="00000000" w:rsidRDefault="00000000" w:rsidRPr="00000000" w14:paraId="00000021">
      <w:pPr>
        <w:rPr/>
      </w:pPr>
      <w:r w:rsidDel="00000000" w:rsidR="00000000" w:rsidRPr="00000000">
        <w:rPr>
          <w:rtl w:val="0"/>
        </w:rPr>
        <w:t xml:space="preserve">Session chair: Vanessa Navarrete (Universidade do Évora, Portugal)</w:t>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b w:val="1"/>
          <w:rtl w:val="0"/>
        </w:rPr>
        <w:t xml:space="preserve">9.15-11.00:</w:t>
      </w:r>
      <w:r w:rsidDel="00000000" w:rsidR="00000000" w:rsidRPr="00000000">
        <w:rPr>
          <w:rtl w:val="0"/>
        </w:rPr>
        <w:t xml:space="preserve"> 6 Oral Presentations (15 mins + 5mins questions)</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Felix Sadebeck</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Making the most out of it: analysing the fattend and starved livestock siblings from Halle. </w:t>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Priscilla Wehi</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Kahukurī (dogskin cloaks), and cultural and scientific considerations around their sampling in Aotearoa New Zealand.</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Karolina Varkuleviciute, Cheryl Makarewicz, Christine Winter-Schuh</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To treat or not to treat? Methodological considerations for carbon and oxygen isotope analysis of enamel.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Alejandro Hiram Marín Leyva</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State of the art on stable and radiogenic isotopes in the paleoecology of fossil mammals in Mexico.</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i w:val="1"/>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Mélanie Roffet-Salque, Richard P. Evershed, George Davey-Smith, Adrian Timpson, Yoan Diekmann, Matthew S. Lyon, Mark G. Thomas and collaborators. </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Dairying, diseases and the evolution of lactase persistence in Europe.</w:t>
      </w: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rPr>
          <w:b w:val="1"/>
        </w:rPr>
      </w:pPr>
      <w:r w:rsidDel="00000000" w:rsidR="00000000" w:rsidRPr="00000000">
        <w:rPr>
          <w:b w:val="1"/>
          <w:rtl w:val="0"/>
        </w:rPr>
        <w:t xml:space="preserve">11.00-11.30:</w:t>
      </w:r>
      <w:r w:rsidDel="00000000" w:rsidR="00000000" w:rsidRPr="00000000">
        <w:rPr>
          <w:rtl w:val="0"/>
        </w:rPr>
        <w:t xml:space="preserve"> Coffee Break</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b w:val="1"/>
        </w:rPr>
      </w:pPr>
      <w:r w:rsidDel="00000000" w:rsidR="00000000" w:rsidRPr="00000000">
        <w:rPr>
          <w:b w:val="1"/>
          <w:rtl w:val="0"/>
        </w:rPr>
        <w:t xml:space="preserve">11.30-13.30:</w:t>
      </w:r>
      <w:r w:rsidDel="00000000" w:rsidR="00000000" w:rsidRPr="00000000">
        <w:rPr>
          <w:rtl w:val="0"/>
        </w:rPr>
        <w:t xml:space="preserve"> 5 Oral Presentations incl. 20 mins discussion</w:t>
      </w:r>
      <w:r w:rsidDel="00000000" w:rsidR="00000000" w:rsidRPr="00000000">
        <w:rPr>
          <w:rtl w:val="0"/>
        </w:rPr>
      </w:r>
    </w:p>
    <w:p w:rsidR="00000000" w:rsidDel="00000000" w:rsidP="00000000" w:rsidRDefault="00000000" w:rsidRPr="00000000" w14:paraId="00000037">
      <w:pPr>
        <w:rPr>
          <w:b w:val="1"/>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Wouter Bonhof (online)</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Assessing the effect of permafrost on the preservation of endogenous 87Sr/86Sr ratios in dentine with laser ablation MC-ICPMS.</w:t>
      </w:r>
      <w:r w:rsidDel="00000000" w:rsidR="00000000" w:rsidRPr="00000000">
        <w:rPr>
          <w:rtl w:val="0"/>
        </w:rPr>
      </w:r>
    </w:p>
    <w:p w:rsidR="00000000" w:rsidDel="00000000" w:rsidP="00000000" w:rsidRDefault="00000000" w:rsidRPr="00000000" w14:paraId="0000003A">
      <w:pPr>
        <w:rPr>
          <w:b w:val="1"/>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Rhiannon Stevens</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The Late Glacial Palaeolithic re-colonisation of Britain: using faunal oxygen isotopes to bridge the gap between palaeoclimatology and archaeology.</w:t>
      </w:r>
      <w:r w:rsidDel="00000000" w:rsidR="00000000" w:rsidRPr="00000000">
        <w:rPr>
          <w:rtl w:val="0"/>
        </w:rPr>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Izzy Davis, Melanie Roffet-Salque</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Molecular and isotopic approaches to the investigation of freshwater resource use by early central European farmers.</w:t>
      </w:r>
      <w:r w:rsidDel="00000000" w:rsidR="00000000" w:rsidRPr="00000000">
        <w:rPr>
          <w:rtl w:val="0"/>
        </w:rPr>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Maëlle Couvrat, É. Pubert, F. Santos, N. Vanderesse, D. Yang, C. Nékoulnang, O. Otero, A. Souron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Reconstructing paleoseasonality is important to understand ecosystem dynamics in ancient times.</w:t>
      </w:r>
      <w:r w:rsidDel="00000000" w:rsidR="00000000" w:rsidRPr="00000000">
        <w:rPr>
          <w:rtl w:val="0"/>
        </w:rPr>
      </w:r>
    </w:p>
    <w:p w:rsidR="00000000" w:rsidDel="00000000" w:rsidP="00000000" w:rsidRDefault="00000000" w:rsidRPr="00000000" w14:paraId="00000043">
      <w:pPr>
        <w:rPr>
          <w:b w:val="1"/>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Carlo Cocozza, Wolf-Rüdiger Teegen, Silvia Soncin, Giulia Formichella, Mary Anne Tafuri, Ricardo Fernandes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Tracing 8,000 years of European environmental and agricultural history using archaeofaunal Big isotopic Data.</w:t>
      </w:r>
      <w:r w:rsidDel="00000000" w:rsidR="00000000" w:rsidRPr="00000000">
        <w:rPr>
          <w:rtl w:val="0"/>
        </w:rPr>
      </w:r>
    </w:p>
    <w:p w:rsidR="00000000" w:rsidDel="00000000" w:rsidP="00000000" w:rsidRDefault="00000000" w:rsidRPr="00000000" w14:paraId="00000046">
      <w:pPr>
        <w:rPr>
          <w:b w:val="1"/>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b w:val="1"/>
          <w:rtl w:val="0"/>
        </w:rPr>
        <w:t xml:space="preserve">13.30-14.15:</w:t>
      </w:r>
      <w:r w:rsidDel="00000000" w:rsidR="00000000" w:rsidRPr="00000000">
        <w:rPr>
          <w:rtl w:val="0"/>
        </w:rPr>
        <w:t xml:space="preserve"> Lunch</w:t>
      </w: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Session 2: Reconstruction of paleo-environments and climates</w:t>
      </w:r>
    </w:p>
    <w:p w:rsidR="00000000" w:rsidDel="00000000" w:rsidP="00000000" w:rsidRDefault="00000000" w:rsidRPr="00000000" w14:paraId="0000004A">
      <w:pPr>
        <w:rPr/>
      </w:pPr>
      <w:r w:rsidDel="00000000" w:rsidR="00000000" w:rsidRPr="00000000">
        <w:rPr>
          <w:rtl w:val="0"/>
        </w:rPr>
        <w:t xml:space="preserve">Session chair: Sarah Pederzani (Universidade de Laguna, Spain)</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b w:val="1"/>
        </w:rPr>
      </w:pPr>
      <w:r w:rsidDel="00000000" w:rsidR="00000000" w:rsidRPr="00000000">
        <w:rPr>
          <w:b w:val="1"/>
          <w:rtl w:val="0"/>
        </w:rPr>
        <w:t xml:space="preserve">14.15-16.15:</w:t>
      </w:r>
      <w:r w:rsidDel="00000000" w:rsidR="00000000" w:rsidRPr="00000000">
        <w:rPr>
          <w:rtl w:val="0"/>
        </w:rPr>
        <w:t xml:space="preserve"> 6 Oral Presentations (15 mins+5mins questions)</w:t>
      </w:r>
      <w:r w:rsidDel="00000000" w:rsidR="00000000" w:rsidRPr="00000000">
        <w:rPr>
          <w:rtl w:val="0"/>
        </w:rPr>
      </w:r>
    </w:p>
    <w:p w:rsidR="00000000" w:rsidDel="00000000" w:rsidP="00000000" w:rsidRDefault="00000000" w:rsidRPr="00000000" w14:paraId="0000004D">
      <w:pPr>
        <w:rPr>
          <w:b w:val="1"/>
        </w:rPr>
      </w:pP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Sophia Politt, Helena Pribliczki, Nils Andersen, David Morris, Cheryl Makarewicz, Michaela Ecker</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Combined archaeozoological and isotopic analysis of faunal remains from Pniel 6, South Africa. </w:t>
      </w:r>
      <w:r w:rsidDel="00000000" w:rsidR="00000000" w:rsidRPr="00000000">
        <w:rPr>
          <w:rtl w:val="0"/>
        </w:rPr>
      </w:r>
    </w:p>
    <w:p w:rsidR="00000000" w:rsidDel="00000000" w:rsidP="00000000" w:rsidRDefault="00000000" w:rsidRPr="00000000" w14:paraId="00000050">
      <w:pPr>
        <w:rPr>
          <w:b w:val="1"/>
        </w:rPr>
      </w:pP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Maciej T. Krajcarz, Magdalena Krajcarz, Daniel Makowiecki, Wim Van Neer</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Dietary strategies in medieval urban cat populations through bone collagen C, N, S stable isotopes.</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i w:val="1"/>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Benjamin Irvine, Rana Özbal, Christina Luke, Christopher H. Roosevelt, Canan Çakırlar, Felix Pirson</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Investigating Palaeoenvironment and Animal Management in Western Anatolia from the Neolithic to the Roman Period Utilising Stable Isotopes of Carbon and Nitrogen.</w:t>
      </w:r>
      <w:r w:rsidDel="00000000" w:rsidR="00000000" w:rsidRPr="00000000">
        <w:rPr>
          <w:rtl w:val="0"/>
        </w:rPr>
      </w:r>
    </w:p>
    <w:p w:rsidR="00000000" w:rsidDel="00000000" w:rsidP="00000000" w:rsidRDefault="00000000" w:rsidRPr="00000000" w14:paraId="00000056">
      <w:pPr>
        <w:rPr>
          <w:b w:val="1"/>
        </w:rPr>
      </w:pP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Seminew Asrat Mogesie, Caterina Aurelli, Marianna Fusco, Mary Anne Tafuri, Enza Elena Spinapolice</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New insights into the late Pleistocene paleoecology using δ13C and δ18O enamel isotope evidence from Gotera, Southern Ethiopia.</w:t>
      </w:r>
      <w:r w:rsidDel="00000000" w:rsidR="00000000" w:rsidRPr="00000000">
        <w:rPr>
          <w:rtl w:val="0"/>
        </w:rPr>
      </w:r>
    </w:p>
    <w:p w:rsidR="00000000" w:rsidDel="00000000" w:rsidP="00000000" w:rsidRDefault="00000000" w:rsidRPr="00000000" w14:paraId="00000059">
      <w:pPr>
        <w:rPr>
          <w:b w:val="1"/>
        </w:rPr>
      </w:pP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Jennifer R. Jones, Michael P. Richards, Lawrence G. Straus, Ana B. Marin Arroyo</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Ice Age survival: Exploring the impact of microenvironments and changing faunal niches on human hunting behaviour using stable isotope techniques in a Southern European Refugium. </w:t>
      </w:r>
      <w:r w:rsidDel="00000000" w:rsidR="00000000" w:rsidRPr="00000000">
        <w:rPr>
          <w:rtl w:val="0"/>
        </w:rPr>
      </w:r>
    </w:p>
    <w:p w:rsidR="00000000" w:rsidDel="00000000" w:rsidP="00000000" w:rsidRDefault="00000000" w:rsidRPr="00000000" w14:paraId="0000005C">
      <w:pPr>
        <w:rPr>
          <w:b w:val="1"/>
        </w:rPr>
      </w:pP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Sarah Pederzani, Manuel Trost, Nicolas Bourgon, Jeremy McCormack, Kate Britton, Helen Fewlass, Jean-Jacques Hublin, Shannon McPherron, Tim Schüler, Geoff M. Smith, Sahra Talamo, Marcel Weiss, Thomas Tütken, Klervia Jaouen </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Shining a light on C3 environments? New data on δ66Zn as a proxy for herbivore grazing and plant ecosystem change in the European Pleistocene.</w:t>
      </w:r>
      <w:r w:rsidDel="00000000" w:rsidR="00000000" w:rsidRPr="00000000">
        <w:rPr>
          <w:rtl w:val="0"/>
        </w:rPr>
      </w:r>
    </w:p>
    <w:p w:rsidR="00000000" w:rsidDel="00000000" w:rsidP="00000000" w:rsidRDefault="00000000" w:rsidRPr="00000000" w14:paraId="0000005F">
      <w:pPr>
        <w:rPr>
          <w:b w:val="1"/>
          <w:i w:val="1"/>
          <w:highlight w:val="yellow"/>
        </w:rPr>
      </w:pPr>
      <w:r w:rsidDel="00000000" w:rsidR="00000000" w:rsidRPr="00000000">
        <w:rPr>
          <w:rtl w:val="0"/>
        </w:rPr>
      </w:r>
    </w:p>
    <w:p w:rsidR="00000000" w:rsidDel="00000000" w:rsidP="00000000" w:rsidRDefault="00000000" w:rsidRPr="00000000" w14:paraId="00000060">
      <w:pPr>
        <w:rPr>
          <w:b w:val="1"/>
        </w:rPr>
      </w:pPr>
      <w:r w:rsidDel="00000000" w:rsidR="00000000" w:rsidRPr="00000000">
        <w:rPr>
          <w:b w:val="1"/>
          <w:rtl w:val="0"/>
        </w:rPr>
        <w:t xml:space="preserve">16.15-16.45:</w:t>
      </w:r>
      <w:r w:rsidDel="00000000" w:rsidR="00000000" w:rsidRPr="00000000">
        <w:rPr>
          <w:rtl w:val="0"/>
        </w:rPr>
        <w:t xml:space="preserve"> Coffee</w:t>
      </w:r>
      <w:r w:rsidDel="00000000" w:rsidR="00000000" w:rsidRPr="00000000">
        <w:rPr>
          <w:rtl w:val="0"/>
        </w:rPr>
      </w:r>
    </w:p>
    <w:p w:rsidR="00000000" w:rsidDel="00000000" w:rsidP="00000000" w:rsidRDefault="00000000" w:rsidRPr="00000000" w14:paraId="00000061">
      <w:pPr>
        <w:rPr>
          <w:b w:val="1"/>
        </w:rPr>
      </w:pPr>
      <w:r w:rsidDel="00000000" w:rsidR="00000000" w:rsidRPr="00000000">
        <w:rPr>
          <w:rtl w:val="0"/>
        </w:rPr>
      </w:r>
    </w:p>
    <w:p w:rsidR="00000000" w:rsidDel="00000000" w:rsidP="00000000" w:rsidRDefault="00000000" w:rsidRPr="00000000" w14:paraId="00000062">
      <w:pPr>
        <w:rPr>
          <w:b w:val="1"/>
        </w:rPr>
      </w:pPr>
      <w:r w:rsidDel="00000000" w:rsidR="00000000" w:rsidRPr="00000000">
        <w:rPr>
          <w:b w:val="1"/>
          <w:rtl w:val="0"/>
        </w:rPr>
        <w:t xml:space="preserve">16.45-18.45:</w:t>
      </w:r>
      <w:r w:rsidDel="00000000" w:rsidR="00000000" w:rsidRPr="00000000">
        <w:rPr>
          <w:rtl w:val="0"/>
        </w:rPr>
        <w:t xml:space="preserve"> 5 Oral presentations incl. 25 mins discussion</w:t>
      </w:r>
      <w:r w:rsidDel="00000000" w:rsidR="00000000" w:rsidRPr="00000000">
        <w:rPr>
          <w:rtl w:val="0"/>
        </w:rPr>
      </w:r>
    </w:p>
    <w:p w:rsidR="00000000" w:rsidDel="00000000" w:rsidP="00000000" w:rsidRDefault="00000000" w:rsidRPr="00000000" w14:paraId="00000063">
      <w:pPr>
        <w:rPr>
          <w:b w:val="1"/>
        </w:rPr>
      </w:pP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Michael Ziegler, Patrick Roberts, Jose Iriarte</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Exploring the Palaeoecology of late Pleistocene – early Holocene Fossiliferous Archaeological Sites in Northwestern South America through Stable Isotope Analysis.</w:t>
      </w:r>
      <w:r w:rsidDel="00000000" w:rsidR="00000000" w:rsidRPr="00000000">
        <w:rPr>
          <w:rtl w:val="0"/>
        </w:rPr>
      </w:r>
    </w:p>
    <w:p w:rsidR="00000000" w:rsidDel="00000000" w:rsidP="00000000" w:rsidRDefault="00000000" w:rsidRPr="00000000" w14:paraId="00000066">
      <w:pPr>
        <w:rPr>
          <w:b w:val="1"/>
        </w:rPr>
      </w:pP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Samuel Johns, Charlie Maule, Lora Angelova, Marc Vermeulen, Matthew J. Collins, Melanie Roffet-Salque</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Historical Climate Signals Preserved Within Parchments from the UK Acts of Parliament. </w:t>
      </w:r>
      <w:r w:rsidDel="00000000" w:rsidR="00000000" w:rsidRPr="00000000">
        <w:rPr>
          <w:rtl w:val="0"/>
        </w:rPr>
      </w:r>
    </w:p>
    <w:p w:rsidR="00000000" w:rsidDel="00000000" w:rsidP="00000000" w:rsidRDefault="00000000" w:rsidRPr="00000000" w14:paraId="00000069">
      <w:pPr>
        <w:rPr>
          <w:b w:val="1"/>
        </w:rPr>
      </w:pP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Larkin Chapman, Cyler Conrad, Cailtin Ainsworth, Emily Lena Jones, Chalowit Thongcharoenchaikit </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The Burmese hare as a palaeoecological indicator: a stable isotope analysis from two archaeological sites in mainland southeast Asia.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i w:val="1"/>
        </w:rPr>
      </w:pP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Daniel Dalmas, Joan B. Coltrain, Matthew G. Hill</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Carbon Isotope Variation in Bison Bone from a Great Plains Riverbed Accumulation, United States.</w:t>
      </w:r>
      <w:r w:rsidDel="00000000" w:rsidR="00000000" w:rsidRPr="00000000">
        <w:rPr>
          <w:rtl w:val="0"/>
        </w:rPr>
      </w:r>
    </w:p>
    <w:p w:rsidR="00000000" w:rsidDel="00000000" w:rsidP="00000000" w:rsidRDefault="00000000" w:rsidRPr="00000000" w14:paraId="0000006F">
      <w:pPr>
        <w:rPr>
          <w:b w:val="1"/>
        </w:rPr>
      </w:pP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Mónica Fernández-García; Ana Belén Marín-Arroyo; Sarah Pederzani; Kate Britton</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Climatic inferences from δ18O and δ13C preserved in ungulates consumed by late Neanderthals and early modern humans in northern Iberia.</w:t>
      </w:r>
      <w:r w:rsidDel="00000000" w:rsidR="00000000" w:rsidRPr="00000000">
        <w:rPr>
          <w:rtl w:val="0"/>
        </w:rPr>
      </w:r>
    </w:p>
    <w:p w:rsidR="00000000" w:rsidDel="00000000" w:rsidP="00000000" w:rsidRDefault="00000000" w:rsidRPr="00000000" w14:paraId="00000072">
      <w:pPr>
        <w:rPr>
          <w:b w:val="1"/>
        </w:rPr>
      </w:pPr>
      <w:r w:rsidDel="00000000" w:rsidR="00000000" w:rsidRPr="00000000">
        <w:rPr>
          <w:rtl w:val="0"/>
        </w:rPr>
      </w:r>
    </w:p>
    <w:p w:rsidR="00000000" w:rsidDel="00000000" w:rsidP="00000000" w:rsidRDefault="00000000" w:rsidRPr="00000000" w14:paraId="00000073">
      <w:pPr>
        <w:jc w:val="center"/>
        <w:rPr>
          <w:b w:val="1"/>
          <w:sz w:val="24"/>
          <w:szCs w:val="24"/>
          <w:u w:val="single"/>
        </w:rPr>
      </w:pPr>
      <w:r w:rsidDel="00000000" w:rsidR="00000000" w:rsidRPr="00000000">
        <w:rPr>
          <w:rtl w:val="0"/>
        </w:rPr>
        <w:t xml:space="preserve">End of first day</w:t>
      </w:r>
      <w:r w:rsidDel="00000000" w:rsidR="00000000" w:rsidRPr="00000000">
        <w:rPr>
          <w:rtl w:val="0"/>
        </w:rPr>
      </w:r>
    </w:p>
    <w:p w:rsidR="00000000" w:rsidDel="00000000" w:rsidP="00000000" w:rsidRDefault="00000000" w:rsidRPr="00000000" w14:paraId="00000074">
      <w:pPr>
        <w:jc w:val="center"/>
        <w:rPr>
          <w:b w:val="1"/>
          <w:sz w:val="24"/>
          <w:szCs w:val="24"/>
          <w:u w:val="single"/>
        </w:rPr>
      </w:pPr>
      <w:r w:rsidDel="00000000" w:rsidR="00000000" w:rsidRPr="00000000">
        <w:rPr>
          <w:rtl w:val="0"/>
        </w:rPr>
      </w:r>
    </w:p>
    <w:p w:rsidR="00000000" w:rsidDel="00000000" w:rsidP="00000000" w:rsidRDefault="00000000" w:rsidRPr="00000000" w14:paraId="00000075">
      <w:pPr>
        <w:jc w:val="center"/>
        <w:rPr>
          <w:b w:val="1"/>
          <w:sz w:val="24"/>
          <w:szCs w:val="24"/>
          <w:u w:val="single"/>
        </w:rPr>
      </w:pPr>
      <w:r w:rsidDel="00000000" w:rsidR="00000000" w:rsidRPr="00000000">
        <w:rPr>
          <w:rtl w:val="0"/>
        </w:rPr>
      </w:r>
    </w:p>
    <w:p w:rsidR="00000000" w:rsidDel="00000000" w:rsidP="00000000" w:rsidRDefault="00000000" w:rsidRPr="00000000" w14:paraId="00000076">
      <w:pPr>
        <w:jc w:val="center"/>
        <w:rPr>
          <w:b w:val="1"/>
          <w:sz w:val="24"/>
          <w:szCs w:val="24"/>
          <w:u w:val="single"/>
        </w:rPr>
      </w:pPr>
      <w:r w:rsidDel="00000000" w:rsidR="00000000" w:rsidRPr="00000000">
        <w:rPr>
          <w:rtl w:val="0"/>
        </w:rPr>
      </w:r>
    </w:p>
    <w:p w:rsidR="00000000" w:rsidDel="00000000" w:rsidP="00000000" w:rsidRDefault="00000000" w:rsidRPr="00000000" w14:paraId="00000077">
      <w:pPr>
        <w:jc w:val="center"/>
        <w:rPr>
          <w:b w:val="1"/>
          <w:sz w:val="24"/>
          <w:szCs w:val="24"/>
          <w:u w:val="single"/>
        </w:rPr>
      </w:pPr>
      <w:r w:rsidDel="00000000" w:rsidR="00000000" w:rsidRPr="00000000">
        <w:rPr>
          <w:rtl w:val="0"/>
        </w:rPr>
      </w:r>
    </w:p>
    <w:p w:rsidR="00000000" w:rsidDel="00000000" w:rsidP="00000000" w:rsidRDefault="00000000" w:rsidRPr="00000000" w14:paraId="00000078">
      <w:pPr>
        <w:jc w:val="center"/>
        <w:rPr>
          <w:b w:val="1"/>
          <w:sz w:val="24"/>
          <w:szCs w:val="24"/>
          <w:u w:val="single"/>
        </w:rPr>
      </w:pPr>
      <w:r w:rsidDel="00000000" w:rsidR="00000000" w:rsidRPr="00000000">
        <w:rPr>
          <w:b w:val="1"/>
          <w:sz w:val="24"/>
          <w:szCs w:val="24"/>
          <w:u w:val="single"/>
          <w:rtl w:val="0"/>
        </w:rPr>
        <w:t xml:space="preserve">Friday 24</w:t>
      </w:r>
      <w:r w:rsidDel="00000000" w:rsidR="00000000" w:rsidRPr="00000000">
        <w:rPr>
          <w:b w:val="1"/>
          <w:sz w:val="24"/>
          <w:szCs w:val="24"/>
          <w:u w:val="single"/>
          <w:vertAlign w:val="superscript"/>
          <w:rtl w:val="0"/>
        </w:rPr>
        <w:t xml:space="preserve">th</w:t>
      </w:r>
      <w:r w:rsidDel="00000000" w:rsidR="00000000" w:rsidRPr="00000000">
        <w:rPr>
          <w:b w:val="1"/>
          <w:sz w:val="24"/>
          <w:szCs w:val="24"/>
          <w:u w:val="single"/>
          <w:rtl w:val="0"/>
        </w:rPr>
        <w:t xml:space="preserve"> March, Freie Universität/ Hybrid format</w:t>
      </w:r>
    </w:p>
    <w:p w:rsidR="00000000" w:rsidDel="00000000" w:rsidP="00000000" w:rsidRDefault="00000000" w:rsidRPr="00000000" w14:paraId="00000079">
      <w:pPr>
        <w:jc w:val="cente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Session 3: Herding, Hunting, Hustling and Husbandry.</w:t>
      </w:r>
    </w:p>
    <w:p w:rsidR="00000000" w:rsidDel="00000000" w:rsidP="00000000" w:rsidRDefault="00000000" w:rsidRPr="00000000" w14:paraId="0000007C">
      <w:pPr>
        <w:rPr/>
      </w:pPr>
      <w:r w:rsidDel="00000000" w:rsidR="00000000" w:rsidRPr="00000000">
        <w:rPr>
          <w:rtl w:val="0"/>
        </w:rPr>
        <w:t xml:space="preserve">Session chair: Richard Madgwick (University of Cardiff, UK)</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b w:val="1"/>
        </w:rPr>
      </w:pPr>
      <w:r w:rsidDel="00000000" w:rsidR="00000000" w:rsidRPr="00000000">
        <w:rPr>
          <w:b w:val="1"/>
          <w:rtl w:val="0"/>
        </w:rPr>
        <w:t xml:space="preserve">8.30-10.30:</w:t>
      </w:r>
      <w:r w:rsidDel="00000000" w:rsidR="00000000" w:rsidRPr="00000000">
        <w:rPr>
          <w:rtl w:val="0"/>
        </w:rPr>
        <w:t xml:space="preserve"> 6 Oral Presentations </w:t>
      </w:r>
      <w:r w:rsidDel="00000000" w:rsidR="00000000" w:rsidRPr="00000000">
        <w:rPr>
          <w:rtl w:val="0"/>
        </w:rPr>
      </w:r>
    </w:p>
    <w:p w:rsidR="00000000" w:rsidDel="00000000" w:rsidP="00000000" w:rsidRDefault="00000000" w:rsidRPr="00000000" w14:paraId="0000007F">
      <w:pPr>
        <w:rPr>
          <w:b w:val="1"/>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Eleutério Abreu De Sousa (online)</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Interregional cattle exchange between Egypt and the Levant during the Early Bronze Age. </w:t>
      </w:r>
      <w:r w:rsidDel="00000000" w:rsidR="00000000" w:rsidRPr="00000000">
        <w:rPr>
          <w:rtl w:val="0"/>
        </w:rPr>
      </w:r>
    </w:p>
    <w:p w:rsidR="00000000" w:rsidDel="00000000" w:rsidP="00000000" w:rsidRDefault="00000000" w:rsidRPr="00000000" w14:paraId="00000082">
      <w:pPr>
        <w:rPr>
          <w:b w:val="1"/>
        </w:rPr>
      </w:pP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Ariadna Nieto-Espinet, Angela Trentacoste, Gerard Cardona, Mateo Carrocio, Leopoldo Pena, Silvia Valenzuela-Lamas</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Pioneering study in the detection of modern seasonal mobility through the analysis of strontium and oxygen stable isotopes. An example of collaborative and slow research with extensive livestock farmers in the Lleida Pyrenees.</w:t>
      </w:r>
      <w:r w:rsidDel="00000000" w:rsidR="00000000" w:rsidRPr="00000000">
        <w:rPr>
          <w:rtl w:val="0"/>
        </w:rPr>
      </w:r>
    </w:p>
    <w:p w:rsidR="00000000" w:rsidDel="00000000" w:rsidP="00000000" w:rsidRDefault="00000000" w:rsidRPr="00000000" w14:paraId="00000085">
      <w:pPr>
        <w:rPr>
          <w:b w:val="1"/>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Katherine French, Richard Madgwick </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Hold your horses – strontium isotopes reveal mobility amongst sacrificed horses in the Eastern Baltic (2nd-13th century AD).</w:t>
      </w:r>
      <w:r w:rsidDel="00000000" w:rsidR="00000000" w:rsidRPr="00000000">
        <w:rPr>
          <w:rtl w:val="0"/>
        </w:rPr>
      </w:r>
    </w:p>
    <w:p w:rsidR="00000000" w:rsidDel="00000000" w:rsidP="00000000" w:rsidRDefault="00000000" w:rsidRPr="00000000" w14:paraId="00000088">
      <w:pPr>
        <w:rPr>
          <w:b w:val="1"/>
        </w:rPr>
      </w:pP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Leia Mion, Hongjiao Ma, Peter Guest, Angela Lamb, Richard Madgwick</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Feeding the Roman army in Britain (FRAB): Supplying the frontier in Wales. </w:t>
      </w:r>
      <w:r w:rsidDel="00000000" w:rsidR="00000000" w:rsidRPr="00000000">
        <w:rPr>
          <w:rtl w:val="0"/>
        </w:rPr>
      </w:r>
    </w:p>
    <w:p w:rsidR="00000000" w:rsidDel="00000000" w:rsidP="00000000" w:rsidRDefault="00000000" w:rsidRPr="00000000" w14:paraId="0000008B">
      <w:pPr>
        <w:rPr>
          <w:b w:val="1"/>
        </w:rPr>
      </w:pP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Emily Lena Jones, Caitlin Ainsworth, Scott Kirk, Victoria Monagle</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Animal husbandry, trade, and environmental change in historic central New Mexico: isotopic evidence from Los Ranchos Plaza and North Edith Casa-Corral. </w:t>
      </w:r>
      <w:r w:rsidDel="00000000" w:rsidR="00000000" w:rsidRPr="00000000">
        <w:rPr>
          <w:rtl w:val="0"/>
        </w:rPr>
      </w:r>
    </w:p>
    <w:p w:rsidR="00000000" w:rsidDel="00000000" w:rsidP="00000000" w:rsidRDefault="00000000" w:rsidRPr="00000000" w14:paraId="0000008E">
      <w:pPr>
        <w:rPr>
          <w:b w:val="1"/>
        </w:rPr>
      </w:pP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Lizzie Wright, Hannah O’Regan, Angela Lamb, Jane Evans</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Box Office Bears (BOB): integrating zooarchaeology, isotopes and archives to examine early modern baiting in England.</w:t>
      </w:r>
      <w:r w:rsidDel="00000000" w:rsidR="00000000" w:rsidRPr="00000000">
        <w:rPr>
          <w:rtl w:val="0"/>
        </w:rPr>
      </w:r>
    </w:p>
    <w:p w:rsidR="00000000" w:rsidDel="00000000" w:rsidP="00000000" w:rsidRDefault="00000000" w:rsidRPr="00000000" w14:paraId="00000091">
      <w:pPr>
        <w:rPr>
          <w:b w:val="1"/>
        </w:rPr>
      </w:pPr>
      <w:r w:rsidDel="00000000" w:rsidR="00000000" w:rsidRPr="00000000">
        <w:rPr>
          <w:rtl w:val="0"/>
        </w:rPr>
      </w:r>
    </w:p>
    <w:p w:rsidR="00000000" w:rsidDel="00000000" w:rsidP="00000000" w:rsidRDefault="00000000" w:rsidRPr="00000000" w14:paraId="00000092">
      <w:pPr>
        <w:rPr>
          <w:b w:val="1"/>
        </w:rPr>
      </w:pPr>
      <w:r w:rsidDel="00000000" w:rsidR="00000000" w:rsidRPr="00000000">
        <w:rPr>
          <w:b w:val="1"/>
          <w:rtl w:val="0"/>
        </w:rPr>
        <w:t xml:space="preserve">10.30-11.00:</w:t>
      </w:r>
      <w:r w:rsidDel="00000000" w:rsidR="00000000" w:rsidRPr="00000000">
        <w:rPr>
          <w:rtl w:val="0"/>
        </w:rPr>
        <w:t xml:space="preserve"> Coffee Break </w:t>
      </w:r>
      <w:r w:rsidDel="00000000" w:rsidR="00000000" w:rsidRPr="00000000">
        <w:rPr>
          <w:rtl w:val="0"/>
        </w:rPr>
      </w:r>
    </w:p>
    <w:p w:rsidR="00000000" w:rsidDel="00000000" w:rsidP="00000000" w:rsidRDefault="00000000" w:rsidRPr="00000000" w14:paraId="00000093">
      <w:pPr>
        <w:rPr>
          <w:b w:val="1"/>
        </w:rPr>
      </w:pPr>
      <w:r w:rsidDel="00000000" w:rsidR="00000000" w:rsidRPr="00000000">
        <w:rPr>
          <w:rtl w:val="0"/>
        </w:rPr>
      </w:r>
    </w:p>
    <w:p w:rsidR="00000000" w:rsidDel="00000000" w:rsidP="00000000" w:rsidRDefault="00000000" w:rsidRPr="00000000" w14:paraId="00000094">
      <w:pPr>
        <w:rPr>
          <w:b w:val="1"/>
        </w:rPr>
      </w:pPr>
      <w:r w:rsidDel="00000000" w:rsidR="00000000" w:rsidRPr="00000000">
        <w:rPr>
          <w:b w:val="1"/>
          <w:rtl w:val="0"/>
        </w:rPr>
        <w:t xml:space="preserve">11.00-11.30:</w:t>
      </w:r>
      <w:r w:rsidDel="00000000" w:rsidR="00000000" w:rsidRPr="00000000">
        <w:rPr>
          <w:rtl w:val="0"/>
        </w:rPr>
        <w:t xml:space="preserve"> Poster session</w:t>
      </w: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b w:val="1"/>
        </w:rPr>
      </w:pPr>
      <w:r w:rsidDel="00000000" w:rsidR="00000000" w:rsidRPr="00000000">
        <w:rPr>
          <w:b w:val="1"/>
          <w:rtl w:val="0"/>
        </w:rPr>
        <w:t xml:space="preserve">11.30-13.30:</w:t>
      </w:r>
      <w:r w:rsidDel="00000000" w:rsidR="00000000" w:rsidRPr="00000000">
        <w:rPr>
          <w:rtl w:val="0"/>
        </w:rPr>
        <w:t xml:space="preserve"> 6 Oral Presentations</w:t>
      </w:r>
      <w:r w:rsidDel="00000000" w:rsidR="00000000" w:rsidRPr="00000000">
        <w:rPr>
          <w:rtl w:val="0"/>
        </w:rPr>
      </w:r>
    </w:p>
    <w:p w:rsidR="00000000" w:rsidDel="00000000" w:rsidP="00000000" w:rsidRDefault="00000000" w:rsidRPr="00000000" w14:paraId="00000097">
      <w:pPr>
        <w:rPr>
          <w:b w:val="1"/>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Nathalie Brusgaard, Michael Dee, Jildou Kooistra, Lisette Kootker, Mans Schepers, Daan Raemaekers, Canan Çakiırlar</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The emergence of animal husbandry in northern Europe: new stable isotopic and zooarchaeological evidence from the Dutch wetlands.</w:t>
      </w:r>
      <w:r w:rsidDel="00000000" w:rsidR="00000000" w:rsidRPr="00000000">
        <w:rPr>
          <w:rtl w:val="0"/>
        </w:rPr>
      </w:r>
    </w:p>
    <w:p w:rsidR="00000000" w:rsidDel="00000000" w:rsidP="00000000" w:rsidRDefault="00000000" w:rsidRPr="00000000" w14:paraId="0000009A">
      <w:pPr>
        <w:rPr>
          <w:b w:val="1"/>
        </w:rPr>
      </w:pP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Anastasia Brozou, Benjamin T. Fuller, Bea De Cupere, Anaïs Marrast, Hervé Monchot, Joris Peters, Katrien Van de Vijver, Olivier Lambert, Marcello A. Mannino, Claudio Ottoni, Wim Van Neer </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Holy mackerel! Medieval harbour cats from Iran and Oman had differential access to marine fish.</w:t>
      </w:r>
      <w:r w:rsidDel="00000000" w:rsidR="00000000" w:rsidRPr="00000000">
        <w:rPr>
          <w:rtl w:val="0"/>
        </w:rPr>
      </w:r>
    </w:p>
    <w:p w:rsidR="00000000" w:rsidDel="00000000" w:rsidP="00000000" w:rsidRDefault="00000000" w:rsidRPr="00000000" w14:paraId="0000009D">
      <w:pPr>
        <w:rPr>
          <w:b w:val="1"/>
        </w:rPr>
      </w:pP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Richard Madgwick, Carmen Esposito, Angela Lamb </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Feasting networks at the end of the Bronze Age in southern Britain: Exploring mobility and animal management. </w:t>
      </w:r>
      <w:r w:rsidDel="00000000" w:rsidR="00000000" w:rsidRPr="00000000">
        <w:rPr>
          <w:rtl w:val="0"/>
        </w:rPr>
      </w:r>
    </w:p>
    <w:p w:rsidR="00000000" w:rsidDel="00000000" w:rsidP="00000000" w:rsidRDefault="00000000" w:rsidRPr="00000000" w14:paraId="000000A0">
      <w:pPr>
        <w:rPr>
          <w:b w:val="1"/>
        </w:rPr>
      </w:pPr>
      <w:r w:rsidDel="00000000" w:rsidR="00000000" w:rsidRPr="00000000">
        <w:rPr>
          <w:rtl w:val="0"/>
        </w:rPr>
      </w:r>
    </w:p>
    <w:p w:rsidR="00000000" w:rsidDel="00000000" w:rsidP="00000000" w:rsidRDefault="00000000" w:rsidRPr="00000000" w14:paraId="000000A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Magdalena Blanz, Marie Balasse, Delphine Frémondeau, Erika Gál, Anett Osztás, Denis Fiorillo, Eszter Bánffy, Maria Ivanova</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Livestock diets at the Early Neolithic Starčevo site of Alsónyék-Bátaszék, Hungary.</w:t>
      </w:r>
      <w:r w:rsidDel="00000000" w:rsidR="00000000" w:rsidRPr="00000000">
        <w:rPr>
          <w:rtl w:val="0"/>
        </w:rPr>
      </w:r>
    </w:p>
    <w:p w:rsidR="00000000" w:rsidDel="00000000" w:rsidP="00000000" w:rsidRDefault="00000000" w:rsidRPr="00000000" w14:paraId="000000A3">
      <w:pPr>
        <w:rPr>
          <w:b w:val="1"/>
        </w:rPr>
      </w:pPr>
      <w:r w:rsidDel="00000000" w:rsidR="00000000" w:rsidRPr="00000000">
        <w:rPr>
          <w:rtl w:val="0"/>
        </w:rPr>
      </w:r>
    </w:p>
    <w:p w:rsidR="00000000" w:rsidDel="00000000" w:rsidP="00000000" w:rsidRDefault="00000000" w:rsidRPr="00000000" w14:paraId="000000A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Blessing Chidimuro, Stuart Black</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The Red Fox (Vulpes vulpes): Dietary reconstruction from stable isotope analysis of archaeological and modern fox remains. </w:t>
      </w:r>
      <w:r w:rsidDel="00000000" w:rsidR="00000000" w:rsidRPr="00000000">
        <w:rPr>
          <w:rtl w:val="0"/>
        </w:rPr>
      </w:r>
    </w:p>
    <w:p w:rsidR="00000000" w:rsidDel="00000000" w:rsidP="00000000" w:rsidRDefault="00000000" w:rsidRPr="00000000" w14:paraId="000000A6">
      <w:pPr>
        <w:rPr>
          <w:b w:val="1"/>
        </w:rPr>
      </w:pPr>
      <w:r w:rsidDel="00000000" w:rsidR="00000000" w:rsidRPr="00000000">
        <w:rPr>
          <w:rtl w:val="0"/>
        </w:rPr>
      </w:r>
    </w:p>
    <w:p w:rsidR="00000000" w:rsidDel="00000000" w:rsidP="00000000" w:rsidRDefault="00000000" w:rsidRPr="00000000" w14:paraId="000000A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Hannah Chazin</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Isotopic analysis of more-than-human worlds in the ancient South Caucasus. </w:t>
      </w:r>
      <w:r w:rsidDel="00000000" w:rsidR="00000000" w:rsidRPr="00000000">
        <w:rPr>
          <w:rtl w:val="0"/>
        </w:rPr>
      </w:r>
    </w:p>
    <w:p w:rsidR="00000000" w:rsidDel="00000000" w:rsidP="00000000" w:rsidRDefault="00000000" w:rsidRPr="00000000" w14:paraId="000000A9">
      <w:pPr>
        <w:rPr>
          <w:b w:val="1"/>
        </w:rPr>
      </w:pPr>
      <w:r w:rsidDel="00000000" w:rsidR="00000000" w:rsidRPr="00000000">
        <w:rPr>
          <w:rtl w:val="0"/>
        </w:rPr>
      </w:r>
    </w:p>
    <w:p w:rsidR="00000000" w:rsidDel="00000000" w:rsidP="00000000" w:rsidRDefault="00000000" w:rsidRPr="00000000" w14:paraId="000000AA">
      <w:pPr>
        <w:rPr>
          <w:b w:val="1"/>
        </w:rPr>
      </w:pPr>
      <w:r w:rsidDel="00000000" w:rsidR="00000000" w:rsidRPr="00000000">
        <w:rPr>
          <w:b w:val="1"/>
          <w:rtl w:val="0"/>
        </w:rPr>
        <w:t xml:space="preserve">13.30-14.30:</w:t>
      </w:r>
      <w:r w:rsidDel="00000000" w:rsidR="00000000" w:rsidRPr="00000000">
        <w:rPr>
          <w:rtl w:val="0"/>
        </w:rPr>
        <w:t xml:space="preserve"> Lunch</w:t>
      </w:r>
      <w:r w:rsidDel="00000000" w:rsidR="00000000" w:rsidRPr="00000000">
        <w:rPr>
          <w:rtl w:val="0"/>
        </w:rPr>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b w:val="1"/>
        </w:rPr>
      </w:pPr>
      <w:r w:rsidDel="00000000" w:rsidR="00000000" w:rsidRPr="00000000">
        <w:rPr>
          <w:b w:val="1"/>
          <w:rtl w:val="0"/>
        </w:rPr>
        <w:t xml:space="preserve">14.30-16.15:</w:t>
      </w:r>
      <w:r w:rsidDel="00000000" w:rsidR="00000000" w:rsidRPr="00000000">
        <w:rPr>
          <w:rtl w:val="0"/>
        </w:rPr>
        <w:t xml:space="preserve"> 5 Oral Presentations</w:t>
      </w:r>
      <w:r w:rsidDel="00000000" w:rsidR="00000000" w:rsidRPr="00000000">
        <w:rPr>
          <w:rtl w:val="0"/>
        </w:rPr>
      </w:r>
    </w:p>
    <w:p w:rsidR="00000000" w:rsidDel="00000000" w:rsidP="00000000" w:rsidRDefault="00000000" w:rsidRPr="00000000" w14:paraId="000000AD">
      <w:pPr>
        <w:rPr>
          <w:b w:val="1"/>
        </w:rPr>
      </w:pP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Roger Alcàntara Fors, Richard Madgwick, Maria Saña Seguí </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Cattle on the rocks. Understanding cattle mobility and diet in the Middle Neolithic Cova de les Pixarelles (Tavertet, Osona).</w:t>
      </w:r>
      <w:r w:rsidDel="00000000" w:rsidR="00000000" w:rsidRPr="00000000">
        <w:rPr>
          <w:rtl w:val="0"/>
        </w:rPr>
      </w:r>
    </w:p>
    <w:p w:rsidR="00000000" w:rsidDel="00000000" w:rsidP="00000000" w:rsidRDefault="00000000" w:rsidRPr="00000000" w14:paraId="000000B0">
      <w:pPr>
        <w:rPr>
          <w:b w:val="1"/>
        </w:rPr>
      </w:pPr>
      <w:r w:rsidDel="00000000" w:rsidR="00000000" w:rsidRPr="00000000">
        <w:rPr>
          <w:rtl w:val="0"/>
        </w:rPr>
      </w:r>
    </w:p>
    <w:p w:rsidR="00000000" w:rsidDel="00000000" w:rsidP="00000000" w:rsidRDefault="00000000" w:rsidRPr="00000000" w14:paraId="000000B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Donna de Groene, Pamela Crabtree, Zenobie Garett, Susan Johnston, Erin Crowley-Champoux, Kerri Clearly, Donal Murphy, Trish Long, Carmelita Troy, Derek Hamilton, Katharina Becker</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New Pastures: Livestock and lifeways in Iron Age Ireland.</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i w:val="1"/>
        </w:rPr>
      </w:pPr>
      <w:r w:rsidDel="00000000" w:rsidR="00000000" w:rsidRPr="00000000">
        <w:rPr>
          <w:rtl w:val="0"/>
        </w:rPr>
      </w:r>
    </w:p>
    <w:p w:rsidR="00000000" w:rsidDel="00000000" w:rsidP="00000000" w:rsidRDefault="00000000" w:rsidRPr="00000000" w14:paraId="000000B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Sarah Barakat, Mael Le Corre, Elodie-Laure Jimenez, Rebecca Lam, Vaughan Grimes, Emmanuel Discamps, Kate Britton</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Combining Sulphur and Strontium Isotopic Analysis to recreate Paleolithic Reindeer Mobility and Spatiality.</w:t>
      </w:r>
      <w:r w:rsidDel="00000000" w:rsidR="00000000" w:rsidRPr="00000000">
        <w:rPr>
          <w:rtl w:val="0"/>
        </w:rPr>
      </w:r>
    </w:p>
    <w:p w:rsidR="00000000" w:rsidDel="00000000" w:rsidP="00000000" w:rsidRDefault="00000000" w:rsidRPr="00000000" w14:paraId="000000B6">
      <w:pPr>
        <w:rPr>
          <w:b w:val="1"/>
        </w:rPr>
      </w:pP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Angela Trentacoste, Cheryl Makarewicz  </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An isotopic approach to urban ecology: investigating environmental exploitation and herd management in Archaic Italy. </w:t>
      </w:r>
      <w:r w:rsidDel="00000000" w:rsidR="00000000" w:rsidRPr="00000000">
        <w:rPr>
          <w:rtl w:val="0"/>
        </w:rPr>
      </w:r>
    </w:p>
    <w:p w:rsidR="00000000" w:rsidDel="00000000" w:rsidP="00000000" w:rsidRDefault="00000000" w:rsidRPr="00000000" w14:paraId="000000B9">
      <w:pPr>
        <w:rPr>
          <w:b w:val="1"/>
        </w:rPr>
      </w:pPr>
      <w:r w:rsidDel="00000000" w:rsidR="00000000" w:rsidRPr="00000000">
        <w:rPr>
          <w:rtl w:val="0"/>
        </w:rPr>
      </w:r>
    </w:p>
    <w:p w:rsidR="00000000" w:rsidDel="00000000" w:rsidP="00000000" w:rsidRDefault="00000000" w:rsidRPr="00000000" w14:paraId="000000B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Phoebe Heddell-Stevens, Patrick Roberts</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Investigating hominin hunting seasonality during the Palaeolithic of Eastern Germany using multi-isotope analysis of sequentially sampled herbivore tooth enamel.</w:t>
      </w:r>
      <w:r w:rsidDel="00000000" w:rsidR="00000000" w:rsidRPr="00000000">
        <w:rPr>
          <w:rtl w:val="0"/>
        </w:rPr>
      </w:r>
    </w:p>
    <w:p w:rsidR="00000000" w:rsidDel="00000000" w:rsidP="00000000" w:rsidRDefault="00000000" w:rsidRPr="00000000" w14:paraId="000000BC">
      <w:pPr>
        <w:rPr>
          <w:b w:val="1"/>
        </w:rPr>
      </w:pPr>
      <w:r w:rsidDel="00000000" w:rsidR="00000000" w:rsidRPr="00000000">
        <w:rPr>
          <w:rtl w:val="0"/>
        </w:rPr>
      </w:r>
    </w:p>
    <w:p w:rsidR="00000000" w:rsidDel="00000000" w:rsidP="00000000" w:rsidRDefault="00000000" w:rsidRPr="00000000" w14:paraId="000000BD">
      <w:pPr>
        <w:rPr>
          <w:b w:val="1"/>
        </w:rPr>
      </w:pPr>
      <w:r w:rsidDel="00000000" w:rsidR="00000000" w:rsidRPr="00000000">
        <w:rPr>
          <w:b w:val="1"/>
          <w:rtl w:val="0"/>
        </w:rPr>
        <w:t xml:space="preserve">16.15-16.45:</w:t>
      </w:r>
      <w:r w:rsidDel="00000000" w:rsidR="00000000" w:rsidRPr="00000000">
        <w:rPr>
          <w:rtl w:val="0"/>
        </w:rPr>
        <w:t xml:space="preserve"> Coffee Break </w:t>
      </w:r>
      <w:r w:rsidDel="00000000" w:rsidR="00000000" w:rsidRPr="00000000">
        <w:rPr>
          <w:rtl w:val="0"/>
        </w:rPr>
      </w:r>
    </w:p>
    <w:p w:rsidR="00000000" w:rsidDel="00000000" w:rsidP="00000000" w:rsidRDefault="00000000" w:rsidRPr="00000000" w14:paraId="000000BE">
      <w:pPr>
        <w:rPr>
          <w:b w:val="1"/>
        </w:rPr>
      </w:pPr>
      <w:r w:rsidDel="00000000" w:rsidR="00000000" w:rsidRPr="00000000">
        <w:rPr>
          <w:rtl w:val="0"/>
        </w:rPr>
      </w:r>
    </w:p>
    <w:p w:rsidR="00000000" w:rsidDel="00000000" w:rsidP="00000000" w:rsidRDefault="00000000" w:rsidRPr="00000000" w14:paraId="000000BF">
      <w:pPr>
        <w:rPr/>
      </w:pPr>
      <w:r w:rsidDel="00000000" w:rsidR="00000000" w:rsidRPr="00000000">
        <w:rPr>
          <w:b w:val="1"/>
          <w:rtl w:val="0"/>
        </w:rPr>
        <w:t xml:space="preserve">16.30-18.45:</w:t>
      </w:r>
      <w:r w:rsidDel="00000000" w:rsidR="00000000" w:rsidRPr="00000000">
        <w:rPr>
          <w:rtl w:val="0"/>
        </w:rPr>
        <w:t xml:space="preserve"> 5 Oral Presentations incl. 25 mins discussion time</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Elizabeth R. Arnold, Haskel J. Greenfield, Gideon Hartman, Tina Greenfield</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Provisioning early complex society in the Southern Levant: domestic animal production and management during the Early Bronze Age.</w:t>
      </w:r>
      <w:r w:rsidDel="00000000" w:rsidR="00000000" w:rsidRPr="00000000">
        <w:rPr>
          <w:rtl w:val="0"/>
        </w:rPr>
      </w:r>
    </w:p>
    <w:p w:rsidR="00000000" w:rsidDel="00000000" w:rsidP="00000000" w:rsidRDefault="00000000" w:rsidRPr="00000000" w14:paraId="000000C3">
      <w:pPr>
        <w:rPr>
          <w:b w:val="1"/>
        </w:rPr>
      </w:pPr>
      <w:r w:rsidDel="00000000" w:rsidR="00000000" w:rsidRPr="00000000">
        <w:rPr>
          <w:rtl w:val="0"/>
        </w:rPr>
      </w:r>
    </w:p>
    <w:p w:rsidR="00000000" w:rsidDel="00000000" w:rsidP="00000000" w:rsidRDefault="00000000" w:rsidRPr="00000000" w14:paraId="000000C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Silvia Valenzuela-Lamas, Ariadna Nieto-Espinet, Domingo Carlos Salazar-Garcia, Angela Trentacoste, Silvia Guimarães, Pere Castanyer, Joaquim Tremoleda, Marta Santos</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Animal mobility at Empúries from the Late Bronze Age to Late Antiquity: a complex picture from zooarchaeology and a multi-isotope approach. </w:t>
      </w:r>
      <w:r w:rsidDel="00000000" w:rsidR="00000000" w:rsidRPr="00000000">
        <w:rPr>
          <w:rtl w:val="0"/>
        </w:rPr>
      </w:r>
    </w:p>
    <w:p w:rsidR="00000000" w:rsidDel="00000000" w:rsidP="00000000" w:rsidRDefault="00000000" w:rsidRPr="00000000" w14:paraId="000000C6">
      <w:pPr>
        <w:rPr>
          <w:b w:val="1"/>
        </w:rPr>
      </w:pP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Freya Riedel,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Dorothée Drucker, Britt Starkovich, Simon Trixl</w:t>
      </w: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Weather matters - Reconstructing climate and life histories of Roman-Germanic Equids from Heddesheim (GER) through 18O/13C analysis.</w:t>
      </w:r>
      <w:r w:rsidDel="00000000" w:rsidR="00000000" w:rsidRPr="00000000">
        <w:rPr>
          <w:rtl w:val="0"/>
        </w:rPr>
      </w:r>
    </w:p>
    <w:p w:rsidR="00000000" w:rsidDel="00000000" w:rsidP="00000000" w:rsidRDefault="00000000" w:rsidRPr="00000000" w14:paraId="000000C9">
      <w:pPr>
        <w:rPr>
          <w:b w:val="1"/>
        </w:rPr>
      </w:pP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Aleksa Alaica, Luis Manuel González La Rosa, Kelly Knudson (online)</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At the site level: Interrogating isotopic patterns among fauna from households, plazas, and elite spaces in the ancient Andes.</w:t>
      </w:r>
      <w:r w:rsidDel="00000000" w:rsidR="00000000" w:rsidRPr="00000000">
        <w:rPr>
          <w:rtl w:val="0"/>
        </w:rPr>
      </w:r>
    </w:p>
    <w:p w:rsidR="00000000" w:rsidDel="00000000" w:rsidP="00000000" w:rsidRDefault="00000000" w:rsidRPr="00000000" w14:paraId="000000CC">
      <w:pPr>
        <w:rPr>
          <w:b w:val="1"/>
        </w:rPr>
      </w:pP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Lua Valenzuela-Suau, Sílvia Valenzuela-Lamas, Leopoldo D. Pena, Marta Díaz-Zorita Bonilla, Damià Ramis</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New data to understand strontium isotopic bioavailability and caprine mobility during the Late Prehistory of the Balearic Islands (Spain).</w:t>
      </w:r>
      <w:r w:rsidDel="00000000" w:rsidR="00000000" w:rsidRPr="00000000">
        <w:rPr>
          <w:rtl w:val="0"/>
        </w:rPr>
      </w:r>
    </w:p>
    <w:p w:rsidR="00000000" w:rsidDel="00000000" w:rsidP="00000000" w:rsidRDefault="00000000" w:rsidRPr="00000000" w14:paraId="000000CF">
      <w:pPr>
        <w:rPr>
          <w:b w:val="1"/>
        </w:rPr>
      </w:pPr>
      <w:r w:rsidDel="00000000" w:rsidR="00000000" w:rsidRPr="00000000">
        <w:rPr>
          <w:rtl w:val="0"/>
        </w:rPr>
      </w:r>
    </w:p>
    <w:p w:rsidR="00000000" w:rsidDel="00000000" w:rsidP="00000000" w:rsidRDefault="00000000" w:rsidRPr="00000000" w14:paraId="000000D0">
      <w:pPr>
        <w:rPr/>
      </w:pPr>
      <w:r w:rsidDel="00000000" w:rsidR="00000000" w:rsidRPr="00000000">
        <w:rPr>
          <w:b w:val="1"/>
          <w:rtl w:val="0"/>
        </w:rPr>
        <w:t xml:space="preserve">20.00:</w:t>
      </w:r>
      <w:r w:rsidDel="00000000" w:rsidR="00000000" w:rsidRPr="00000000">
        <w:rPr>
          <w:rtl w:val="0"/>
        </w:rPr>
        <w:t xml:space="preserve"> Conference dinner</w:t>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jc w:val="center"/>
        <w:rPr/>
      </w:pPr>
      <w:r w:rsidDel="00000000" w:rsidR="00000000" w:rsidRPr="00000000">
        <w:rPr>
          <w:rtl w:val="0"/>
        </w:rPr>
      </w:r>
    </w:p>
    <w:p w:rsidR="00000000" w:rsidDel="00000000" w:rsidP="00000000" w:rsidRDefault="00000000" w:rsidRPr="00000000" w14:paraId="000000D3">
      <w:pPr>
        <w:jc w:val="center"/>
        <w:rPr/>
      </w:pPr>
      <w:r w:rsidDel="00000000" w:rsidR="00000000" w:rsidRPr="00000000">
        <w:rPr>
          <w:rtl w:val="0"/>
        </w:rPr>
        <w:t xml:space="preserve">End of Conference</w:t>
      </w:r>
    </w:p>
    <w:p w:rsidR="00000000" w:rsidDel="00000000" w:rsidP="00000000" w:rsidRDefault="00000000" w:rsidRPr="00000000" w14:paraId="000000D4">
      <w:pPr>
        <w:jc w:val="center"/>
        <w:rPr>
          <w:b w:val="1"/>
          <w:sz w:val="24"/>
          <w:szCs w:val="24"/>
          <w:u w:val="single"/>
        </w:rPr>
      </w:pPr>
      <w:r w:rsidDel="00000000" w:rsidR="00000000" w:rsidRPr="00000000">
        <w:rPr>
          <w:rtl w:val="0"/>
        </w:rPr>
      </w:r>
    </w:p>
    <w:p w:rsidR="00000000" w:rsidDel="00000000" w:rsidP="00000000" w:rsidRDefault="00000000" w:rsidRPr="00000000" w14:paraId="000000D5">
      <w:pPr>
        <w:jc w:val="center"/>
        <w:rPr>
          <w:b w:val="1"/>
          <w:sz w:val="24"/>
          <w:szCs w:val="24"/>
          <w:u w:val="single"/>
        </w:rPr>
      </w:pPr>
      <w:r w:rsidDel="00000000" w:rsidR="00000000" w:rsidRPr="00000000">
        <w:rPr>
          <w:rtl w:val="0"/>
        </w:rPr>
      </w:r>
    </w:p>
    <w:p w:rsidR="00000000" w:rsidDel="00000000" w:rsidP="00000000" w:rsidRDefault="00000000" w:rsidRPr="00000000" w14:paraId="000000D6">
      <w:pPr>
        <w:jc w:val="center"/>
        <w:rPr/>
      </w:pPr>
      <w:r w:rsidDel="00000000" w:rsidR="00000000" w:rsidRPr="00000000">
        <w:rPr>
          <w:b w:val="1"/>
          <w:sz w:val="24"/>
          <w:szCs w:val="24"/>
          <w:u w:val="single"/>
          <w:rtl w:val="0"/>
        </w:rPr>
        <w:t xml:space="preserve">Saturday 25</w:t>
      </w:r>
      <w:r w:rsidDel="00000000" w:rsidR="00000000" w:rsidRPr="00000000">
        <w:rPr>
          <w:b w:val="1"/>
          <w:sz w:val="24"/>
          <w:szCs w:val="24"/>
          <w:u w:val="single"/>
          <w:vertAlign w:val="superscript"/>
          <w:rtl w:val="0"/>
        </w:rPr>
        <w:t xml:space="preserve">th</w:t>
      </w:r>
      <w:r w:rsidDel="00000000" w:rsidR="00000000" w:rsidRPr="00000000">
        <w:rPr>
          <w:b w:val="1"/>
          <w:sz w:val="24"/>
          <w:szCs w:val="24"/>
          <w:u w:val="single"/>
          <w:rtl w:val="0"/>
        </w:rPr>
        <w:t xml:space="preserve"> March, Conference excursion</w:t>
      </w:r>
      <w:r w:rsidDel="00000000" w:rsidR="00000000" w:rsidRPr="00000000">
        <w:rPr>
          <w:rtl w:val="0"/>
        </w:rPr>
      </w:r>
    </w:p>
    <w:p w:rsidR="00000000" w:rsidDel="00000000" w:rsidP="00000000" w:rsidRDefault="00000000" w:rsidRPr="00000000" w14:paraId="000000D7">
      <w:pPr>
        <w:jc w:val="center"/>
        <w:rPr/>
      </w:pPr>
      <w:r w:rsidDel="00000000" w:rsidR="00000000" w:rsidRPr="00000000">
        <w:rPr>
          <w:rtl w:val="0"/>
        </w:rPr>
      </w:r>
    </w:p>
    <w:p w:rsidR="00000000" w:rsidDel="00000000" w:rsidP="00000000" w:rsidRDefault="00000000" w:rsidRPr="00000000" w14:paraId="000000D8">
      <w:pPr>
        <w:jc w:val="center"/>
        <w:rPr>
          <w:b w:val="1"/>
          <w:sz w:val="30"/>
          <w:szCs w:val="30"/>
        </w:rPr>
      </w:pPr>
      <w:r w:rsidDel="00000000" w:rsidR="00000000" w:rsidRPr="00000000">
        <w:rPr>
          <w:rtl w:val="0"/>
        </w:rPr>
      </w:r>
    </w:p>
    <w:p w:rsidR="00000000" w:rsidDel="00000000" w:rsidP="00000000" w:rsidRDefault="00000000" w:rsidRPr="00000000" w14:paraId="000000D9">
      <w:pPr>
        <w:rPr>
          <w:b w:val="1"/>
          <w:sz w:val="30"/>
          <w:szCs w:val="30"/>
        </w:rPr>
      </w:pPr>
      <w:r w:rsidDel="00000000" w:rsidR="00000000" w:rsidRPr="00000000">
        <w:rPr>
          <w:rtl w:val="0"/>
        </w:rPr>
      </w:r>
    </w:p>
    <w:p w:rsidR="00000000" w:rsidDel="00000000" w:rsidP="00000000" w:rsidRDefault="00000000" w:rsidRPr="00000000" w14:paraId="000000DA">
      <w:pPr>
        <w:rPr>
          <w:b w:val="1"/>
          <w:sz w:val="30"/>
          <w:szCs w:val="30"/>
        </w:rPr>
      </w:pPr>
      <w:r w:rsidDel="00000000" w:rsidR="00000000" w:rsidRPr="00000000">
        <w:rPr>
          <w:rtl w:val="0"/>
        </w:rPr>
      </w:r>
    </w:p>
    <w:p w:rsidR="00000000" w:rsidDel="00000000" w:rsidP="00000000" w:rsidRDefault="00000000" w:rsidRPr="00000000" w14:paraId="000000DB">
      <w:pPr>
        <w:rPr>
          <w:b w:val="1"/>
          <w:sz w:val="30"/>
          <w:szCs w:val="30"/>
        </w:rPr>
      </w:pPr>
      <w:r w:rsidDel="00000000" w:rsidR="00000000" w:rsidRPr="00000000">
        <w:rPr>
          <w:rtl w:val="0"/>
        </w:rPr>
      </w:r>
    </w:p>
    <w:p w:rsidR="00000000" w:rsidDel="00000000" w:rsidP="00000000" w:rsidRDefault="00000000" w:rsidRPr="00000000" w14:paraId="000000DC">
      <w:pPr>
        <w:rPr>
          <w:b w:val="1"/>
          <w:sz w:val="30"/>
          <w:szCs w:val="30"/>
        </w:rPr>
      </w:pPr>
      <w:r w:rsidDel="00000000" w:rsidR="00000000" w:rsidRPr="00000000">
        <w:rPr>
          <w:rtl w:val="0"/>
        </w:rPr>
      </w:r>
    </w:p>
    <w:p w:rsidR="00000000" w:rsidDel="00000000" w:rsidP="00000000" w:rsidRDefault="00000000" w:rsidRPr="00000000" w14:paraId="000000DD">
      <w:pPr>
        <w:rPr>
          <w:b w:val="1"/>
          <w:sz w:val="30"/>
          <w:szCs w:val="30"/>
        </w:rPr>
      </w:pPr>
      <w:r w:rsidDel="00000000" w:rsidR="00000000" w:rsidRPr="00000000">
        <w:rPr>
          <w:rtl w:val="0"/>
        </w:rPr>
      </w:r>
    </w:p>
    <w:p w:rsidR="00000000" w:rsidDel="00000000" w:rsidP="00000000" w:rsidRDefault="00000000" w:rsidRPr="00000000" w14:paraId="000000DE">
      <w:pPr>
        <w:rPr>
          <w:b w:val="1"/>
          <w:sz w:val="30"/>
          <w:szCs w:val="30"/>
        </w:rPr>
      </w:pPr>
      <w:r w:rsidDel="00000000" w:rsidR="00000000" w:rsidRPr="00000000">
        <w:rPr>
          <w:rtl w:val="0"/>
        </w:rPr>
      </w:r>
    </w:p>
    <w:p w:rsidR="00000000" w:rsidDel="00000000" w:rsidP="00000000" w:rsidRDefault="00000000" w:rsidRPr="00000000" w14:paraId="000000DF">
      <w:pPr>
        <w:rPr>
          <w:b w:val="1"/>
          <w:sz w:val="30"/>
          <w:szCs w:val="30"/>
        </w:rPr>
      </w:pPr>
      <w:r w:rsidDel="00000000" w:rsidR="00000000" w:rsidRPr="00000000">
        <w:rPr>
          <w:rtl w:val="0"/>
        </w:rPr>
      </w:r>
    </w:p>
    <w:p w:rsidR="00000000" w:rsidDel="00000000" w:rsidP="00000000" w:rsidRDefault="00000000" w:rsidRPr="00000000" w14:paraId="000000E0">
      <w:pPr>
        <w:rPr>
          <w:b w:val="1"/>
          <w:sz w:val="30"/>
          <w:szCs w:val="30"/>
        </w:rPr>
      </w:pPr>
      <w:r w:rsidDel="00000000" w:rsidR="00000000" w:rsidRPr="00000000">
        <w:rPr>
          <w:rtl w:val="0"/>
        </w:rPr>
      </w:r>
    </w:p>
    <w:p w:rsidR="00000000" w:rsidDel="00000000" w:rsidP="00000000" w:rsidRDefault="00000000" w:rsidRPr="00000000" w14:paraId="000000E1">
      <w:pPr>
        <w:rPr>
          <w:b w:val="1"/>
          <w:sz w:val="30"/>
          <w:szCs w:val="30"/>
        </w:rPr>
      </w:pPr>
      <w:r w:rsidDel="00000000" w:rsidR="00000000" w:rsidRPr="00000000">
        <w:rPr>
          <w:rtl w:val="0"/>
        </w:rPr>
      </w:r>
    </w:p>
    <w:p w:rsidR="00000000" w:rsidDel="00000000" w:rsidP="00000000" w:rsidRDefault="00000000" w:rsidRPr="00000000" w14:paraId="000000E2">
      <w:pPr>
        <w:rPr>
          <w:b w:val="1"/>
          <w:sz w:val="30"/>
          <w:szCs w:val="30"/>
        </w:rPr>
      </w:pPr>
      <w:r w:rsidDel="00000000" w:rsidR="00000000" w:rsidRPr="00000000">
        <w:rPr>
          <w:rtl w:val="0"/>
        </w:rPr>
      </w:r>
    </w:p>
    <w:p w:rsidR="00000000" w:rsidDel="00000000" w:rsidP="00000000" w:rsidRDefault="00000000" w:rsidRPr="00000000" w14:paraId="000000E3">
      <w:pPr>
        <w:rPr>
          <w:b w:val="1"/>
          <w:sz w:val="30"/>
          <w:szCs w:val="30"/>
        </w:rPr>
      </w:pPr>
      <w:r w:rsidDel="00000000" w:rsidR="00000000" w:rsidRPr="00000000">
        <w:rPr>
          <w:rtl w:val="0"/>
        </w:rPr>
      </w:r>
    </w:p>
    <w:p w:rsidR="00000000" w:rsidDel="00000000" w:rsidP="00000000" w:rsidRDefault="00000000" w:rsidRPr="00000000" w14:paraId="000000E4">
      <w:pPr>
        <w:jc w:val="center"/>
        <w:rPr>
          <w:b w:val="1"/>
          <w:sz w:val="30"/>
          <w:szCs w:val="30"/>
        </w:rPr>
      </w:pPr>
      <w:r w:rsidDel="00000000" w:rsidR="00000000" w:rsidRPr="00000000">
        <w:rPr>
          <w:b w:val="1"/>
          <w:sz w:val="30"/>
          <w:szCs w:val="30"/>
          <w:rtl w:val="0"/>
        </w:rPr>
        <w:t xml:space="preserve">Posters</w:t>
      </w:r>
    </w:p>
    <w:p w:rsidR="00000000" w:rsidDel="00000000" w:rsidP="00000000" w:rsidRDefault="00000000" w:rsidRPr="00000000" w14:paraId="000000E5">
      <w:pPr>
        <w:jc w:val="center"/>
        <w:rPr/>
      </w:pPr>
      <w:r w:rsidDel="00000000" w:rsidR="00000000" w:rsidRPr="00000000">
        <w:rPr>
          <w:rtl w:val="0"/>
        </w:rPr>
      </w:r>
    </w:p>
    <w:p w:rsidR="00000000" w:rsidDel="00000000" w:rsidP="00000000" w:rsidRDefault="00000000" w:rsidRPr="00000000" w14:paraId="000000E6">
      <w:pPr>
        <w:jc w:val="both"/>
        <w:rPr>
          <w:b w:val="1"/>
        </w:rPr>
      </w:pPr>
      <w:r w:rsidDel="00000000" w:rsidR="00000000" w:rsidRPr="00000000">
        <w:rPr>
          <w:rtl w:val="0"/>
        </w:rPr>
        <w:t xml:space="preserve">Gaia Mortier, Stuart Black, Alejandra Perotti, Andrew Kitchener </w:t>
      </w:r>
      <w:r w:rsidDel="00000000" w:rsidR="00000000" w:rsidRPr="00000000">
        <w:rPr>
          <w:rtl w:val="0"/>
        </w:rPr>
      </w:r>
    </w:p>
    <w:p w:rsidR="00000000" w:rsidDel="00000000" w:rsidP="00000000" w:rsidRDefault="00000000" w:rsidRPr="00000000" w14:paraId="000000E7">
      <w:pPr>
        <w:jc w:val="both"/>
        <w:rPr>
          <w:b w:val="1"/>
          <w:i w:val="1"/>
        </w:rPr>
      </w:pPr>
      <w:r w:rsidDel="00000000" w:rsidR="00000000" w:rsidRPr="00000000">
        <w:rPr>
          <w:i w:val="1"/>
          <w:rtl w:val="0"/>
        </w:rPr>
        <w:t xml:space="preserve">What makes them tick: ancient ectoparasites as archaeological proxy indicators using stable isotopes.</w:t>
      </w: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jc w:val="both"/>
        <w:rPr>
          <w:b w:val="1"/>
        </w:rPr>
      </w:pPr>
      <w:r w:rsidDel="00000000" w:rsidR="00000000" w:rsidRPr="00000000">
        <w:rPr>
          <w:rtl w:val="0"/>
        </w:rPr>
        <w:t xml:space="preserve">Celia Díez-Canseco, Mònica Aguilera, Carlos Tornero</w:t>
      </w:r>
      <w:r w:rsidDel="00000000" w:rsidR="00000000" w:rsidRPr="00000000">
        <w:rPr>
          <w:rtl w:val="0"/>
        </w:rPr>
      </w:r>
    </w:p>
    <w:p w:rsidR="00000000" w:rsidDel="00000000" w:rsidP="00000000" w:rsidRDefault="00000000" w:rsidRPr="00000000" w14:paraId="000000EA">
      <w:pPr>
        <w:rPr>
          <w:b w:val="1"/>
          <w:i w:val="1"/>
        </w:rPr>
      </w:pPr>
      <w:r w:rsidDel="00000000" w:rsidR="00000000" w:rsidRPr="00000000">
        <w:rPr>
          <w:i w:val="1"/>
          <w:rtl w:val="0"/>
        </w:rPr>
        <w:t xml:space="preserve">Broadening horizons in intra-tooth isotopic analysis: a new dentine sampling strategy for caprine species.</w:t>
      </w:r>
      <w:r w:rsidDel="00000000" w:rsidR="00000000" w:rsidRPr="00000000">
        <w:rPr>
          <w:rtl w:val="0"/>
        </w:rPr>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jc w:val="both"/>
        <w:rPr>
          <w:b w:val="1"/>
        </w:rPr>
      </w:pPr>
      <w:r w:rsidDel="00000000" w:rsidR="00000000" w:rsidRPr="00000000">
        <w:rPr>
          <w:rtl w:val="0"/>
        </w:rPr>
        <w:t xml:space="preserve">Jesse Wolfhagen </w:t>
      </w:r>
      <w:r w:rsidDel="00000000" w:rsidR="00000000" w:rsidRPr="00000000">
        <w:rPr>
          <w:rtl w:val="0"/>
        </w:rPr>
      </w:r>
    </w:p>
    <w:p w:rsidR="00000000" w:rsidDel="00000000" w:rsidP="00000000" w:rsidRDefault="00000000" w:rsidRPr="00000000" w14:paraId="000000ED">
      <w:pPr>
        <w:jc w:val="both"/>
        <w:rPr>
          <w:b w:val="1"/>
        </w:rPr>
      </w:pPr>
      <w:r w:rsidDel="00000000" w:rsidR="00000000" w:rsidRPr="00000000">
        <w:rPr>
          <w:i w:val="1"/>
          <w:rtl w:val="0"/>
        </w:rPr>
        <w:t xml:space="preserve">Examining Variability Seasonal Behaviors with Bayesian Cyclical δ18O Regression Models.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rPr/>
      </w:pPr>
      <w:r w:rsidDel="00000000" w:rsidR="00000000" w:rsidRPr="00000000">
        <w:rPr>
          <w:rtl w:val="0"/>
        </w:rPr>
        <w:t xml:space="preserve">Magdalena Krajcarz, Maciej T. Krajcarz, Hervé Bocherens </w:t>
      </w:r>
    </w:p>
    <w:p w:rsidR="00000000" w:rsidDel="00000000" w:rsidP="00000000" w:rsidRDefault="00000000" w:rsidRPr="00000000" w14:paraId="000000F0">
      <w:pPr>
        <w:rPr>
          <w:b w:val="1"/>
          <w:i w:val="1"/>
        </w:rPr>
      </w:pPr>
      <w:r w:rsidDel="00000000" w:rsidR="00000000" w:rsidRPr="00000000">
        <w:rPr>
          <w:i w:val="1"/>
          <w:rtl w:val="0"/>
        </w:rPr>
        <w:t xml:space="preserve">The IsoTroph project – Advanced techniques in isotopic biogeochemistry for the estimation of fossil mammal trophic position.</w:t>
      </w:r>
      <w:r w:rsidDel="00000000" w:rsidR="00000000" w:rsidRPr="00000000">
        <w:rPr>
          <w:rtl w:val="0"/>
        </w:rPr>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jc w:val="both"/>
        <w:rPr>
          <w:b w:val="1"/>
        </w:rPr>
      </w:pPr>
      <w:r w:rsidDel="00000000" w:rsidR="00000000" w:rsidRPr="00000000">
        <w:rPr>
          <w:rtl w:val="0"/>
        </w:rPr>
        <w:t xml:space="preserve">Juliette Waterman, Stuart Black, Naomi Sykes, Mark Fellowes</w:t>
      </w:r>
      <w:r w:rsidDel="00000000" w:rsidR="00000000" w:rsidRPr="00000000">
        <w:rPr>
          <w:rtl w:val="0"/>
        </w:rPr>
      </w:r>
    </w:p>
    <w:p w:rsidR="00000000" w:rsidDel="00000000" w:rsidP="00000000" w:rsidRDefault="00000000" w:rsidRPr="00000000" w14:paraId="000000F3">
      <w:pPr>
        <w:jc w:val="both"/>
        <w:rPr>
          <w:b w:val="1"/>
          <w:i w:val="1"/>
          <w:color w:val="000000"/>
        </w:rPr>
      </w:pPr>
      <w:r w:rsidDel="00000000" w:rsidR="00000000" w:rsidRPr="00000000">
        <w:rPr>
          <w:i w:val="1"/>
          <w:color w:val="000000"/>
          <w:rtl w:val="0"/>
        </w:rPr>
        <w:t xml:space="preserve">Ancient eagles: the first dietary stable isotope data and a radiocarbon date for an archaeological eagle from Fishbourne Roman Palace.</w:t>
      </w:r>
      <w:r w:rsidDel="00000000" w:rsidR="00000000" w:rsidRPr="00000000">
        <w:rPr>
          <w:rtl w:val="0"/>
        </w:rPr>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jc w:val="both"/>
        <w:rPr>
          <w:b w:val="1"/>
        </w:rPr>
      </w:pPr>
      <w:r w:rsidDel="00000000" w:rsidR="00000000" w:rsidRPr="00000000">
        <w:rPr>
          <w:rtl w:val="0"/>
        </w:rPr>
        <w:t xml:space="preserve">Mariya Antonosyan, Satenik Mkrtchyan, Levon Yepiskoposyan, Patrick Roberts, Noel Amano</w:t>
      </w:r>
      <w:r w:rsidDel="00000000" w:rsidR="00000000" w:rsidRPr="00000000">
        <w:rPr>
          <w:rtl w:val="0"/>
        </w:rPr>
      </w:r>
    </w:p>
    <w:p w:rsidR="00000000" w:rsidDel="00000000" w:rsidP="00000000" w:rsidRDefault="00000000" w:rsidRPr="00000000" w14:paraId="000000F6">
      <w:pPr>
        <w:jc w:val="both"/>
        <w:rPr>
          <w:b w:val="1"/>
          <w:i w:val="1"/>
          <w:color w:val="000000"/>
        </w:rPr>
      </w:pPr>
      <w:r w:rsidDel="00000000" w:rsidR="00000000" w:rsidRPr="00000000">
        <w:rPr>
          <w:i w:val="1"/>
          <w:color w:val="000000"/>
          <w:rtl w:val="0"/>
        </w:rPr>
        <w:t xml:space="preserve">Multiproxy Evidence Late Pleistocene environment in the South Caucasus.</w:t>
      </w: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jc w:val="both"/>
        <w:rPr>
          <w:b w:val="1"/>
        </w:rPr>
      </w:pPr>
      <w:r w:rsidDel="00000000" w:rsidR="00000000" w:rsidRPr="00000000">
        <w:rPr>
          <w:rtl w:val="0"/>
        </w:rPr>
        <w:t xml:space="preserve">Chris Baumann</w:t>
      </w:r>
      <w:r w:rsidDel="00000000" w:rsidR="00000000" w:rsidRPr="00000000">
        <w:rPr>
          <w:rtl w:val="0"/>
        </w:rPr>
      </w:r>
    </w:p>
    <w:p w:rsidR="00000000" w:rsidDel="00000000" w:rsidP="00000000" w:rsidRDefault="00000000" w:rsidRPr="00000000" w14:paraId="000000F9">
      <w:pPr>
        <w:rPr>
          <w:b w:val="1"/>
          <w:i w:val="1"/>
          <w:color w:val="212121"/>
          <w:highlight w:val="white"/>
        </w:rPr>
      </w:pPr>
      <w:r w:rsidDel="00000000" w:rsidR="00000000" w:rsidRPr="00000000">
        <w:rPr>
          <w:i w:val="1"/>
          <w:color w:val="212121"/>
          <w:highlight w:val="white"/>
          <w:rtl w:val="0"/>
        </w:rPr>
        <w:t xml:space="preserve">First evidence for synanthropic behavior in Late Pleistocene ravens.</w:t>
      </w: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jc w:val="both"/>
        <w:rPr>
          <w:b w:val="1"/>
        </w:rPr>
      </w:pPr>
      <w:r w:rsidDel="00000000" w:rsidR="00000000" w:rsidRPr="00000000">
        <w:rPr>
          <w:rtl w:val="0"/>
        </w:rPr>
        <w:t xml:space="preserve">Hazel Reade, Delphine Frémondeau, Rhiannon Stevens</w:t>
      </w:r>
      <w:r w:rsidDel="00000000" w:rsidR="00000000" w:rsidRPr="00000000">
        <w:rPr>
          <w:rtl w:val="0"/>
        </w:rPr>
      </w:r>
    </w:p>
    <w:p w:rsidR="00000000" w:rsidDel="00000000" w:rsidP="00000000" w:rsidRDefault="00000000" w:rsidRPr="00000000" w14:paraId="000000FC">
      <w:pPr>
        <w:jc w:val="both"/>
        <w:rPr>
          <w:b w:val="1"/>
          <w:i w:val="1"/>
          <w:color w:val="000000"/>
        </w:rPr>
      </w:pPr>
      <w:r w:rsidDel="00000000" w:rsidR="00000000" w:rsidRPr="00000000">
        <w:rPr>
          <w:i w:val="1"/>
          <w:color w:val="000000"/>
          <w:rtl w:val="0"/>
        </w:rPr>
        <w:t xml:space="preserve">A major continental-scale late Pleistocene sulfur excursion: environmental change, permafrost thaw and the importance of sample sharing and multi-disciplinary collaboration. </w:t>
      </w: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jc w:val="both"/>
        <w:rPr>
          <w:b w:val="1"/>
        </w:rPr>
      </w:pPr>
      <w:r w:rsidDel="00000000" w:rsidR="00000000" w:rsidRPr="00000000">
        <w:rPr>
          <w:rtl w:val="0"/>
        </w:rPr>
        <w:t xml:space="preserve">Jana Eger, Claudia Gerling, Martin Riesenberg, Evgenii Gak, Elke Kaiser</w:t>
      </w:r>
      <w:r w:rsidDel="00000000" w:rsidR="00000000" w:rsidRPr="00000000">
        <w:rPr>
          <w:rtl w:val="0"/>
        </w:rPr>
      </w:r>
    </w:p>
    <w:p w:rsidR="00000000" w:rsidDel="00000000" w:rsidP="00000000" w:rsidRDefault="00000000" w:rsidRPr="00000000" w14:paraId="000000FF">
      <w:pPr>
        <w:rPr>
          <w:i w:val="1"/>
        </w:rPr>
      </w:pPr>
      <w:r w:rsidDel="00000000" w:rsidR="00000000" w:rsidRPr="00000000">
        <w:rPr>
          <w:i w:val="1"/>
          <w:rtl w:val="0"/>
        </w:rPr>
        <w:t xml:space="preserve">Isotopic perspectives on pastoral practices at the Middle Bronze Age settlements Ksizovo-1 and Rykan-3.</w:t>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jc w:val="both"/>
        <w:rPr>
          <w:b w:val="1"/>
        </w:rPr>
      </w:pPr>
      <w:r w:rsidDel="00000000" w:rsidR="00000000" w:rsidRPr="00000000">
        <w:rPr>
          <w:rtl w:val="0"/>
        </w:rPr>
        <w:t xml:space="preserve">Shu Yang, Jacqui Mulville, Ben Jervis</w:t>
      </w:r>
      <w:r w:rsidDel="00000000" w:rsidR="00000000" w:rsidRPr="00000000">
        <w:rPr>
          <w:rtl w:val="0"/>
        </w:rPr>
      </w:r>
    </w:p>
    <w:p w:rsidR="00000000" w:rsidDel="00000000" w:rsidP="00000000" w:rsidRDefault="00000000" w:rsidRPr="00000000" w14:paraId="00000102">
      <w:pPr>
        <w:jc w:val="both"/>
        <w:rPr>
          <w:b w:val="1"/>
          <w:i w:val="1"/>
        </w:rPr>
      </w:pPr>
      <w:r w:rsidDel="00000000" w:rsidR="00000000" w:rsidRPr="00000000">
        <w:rPr>
          <w:i w:val="1"/>
          <w:rtl w:val="0"/>
        </w:rPr>
        <w:t xml:space="preserve">Provisioning Medieval Southampton: A Bioarchaeological Approach.</w:t>
      </w:r>
      <w:r w:rsidDel="00000000" w:rsidR="00000000" w:rsidRPr="00000000">
        <w:rPr>
          <w:rtl w:val="0"/>
        </w:rPr>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jc w:val="both"/>
        <w:rPr>
          <w:b w:val="1"/>
        </w:rPr>
      </w:pPr>
      <w:r w:rsidDel="00000000" w:rsidR="00000000" w:rsidRPr="00000000">
        <w:rPr>
          <w:rtl w:val="0"/>
        </w:rPr>
        <w:t xml:space="preserve">Elizabeth R. Arnold, Tina Greenfield</w:t>
      </w:r>
      <w:r w:rsidDel="00000000" w:rsidR="00000000" w:rsidRPr="00000000">
        <w:rPr>
          <w:rtl w:val="0"/>
        </w:rPr>
      </w:r>
    </w:p>
    <w:p w:rsidR="00000000" w:rsidDel="00000000" w:rsidP="00000000" w:rsidRDefault="00000000" w:rsidRPr="00000000" w14:paraId="00000105">
      <w:pPr>
        <w:jc w:val="both"/>
        <w:rPr>
          <w:b w:val="1"/>
          <w:i w:val="1"/>
        </w:rPr>
      </w:pPr>
      <w:r w:rsidDel="00000000" w:rsidR="00000000" w:rsidRPr="00000000">
        <w:rPr>
          <w:i w:val="1"/>
          <w:rtl w:val="0"/>
        </w:rPr>
        <w:t xml:space="preserve">“Ass”essing the role of domestic animals in Ancient Mesopotamia: A bioarchaeological perspective from Abu Salabikh.</w:t>
      </w:r>
      <w:r w:rsidDel="00000000" w:rsidR="00000000" w:rsidRPr="00000000">
        <w:rPr>
          <w:rtl w:val="0"/>
        </w:rPr>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jc w:val="both"/>
        <w:rPr/>
      </w:pPr>
      <w:r w:rsidDel="00000000" w:rsidR="00000000" w:rsidRPr="00000000">
        <w:rPr>
          <w:rtl w:val="0"/>
        </w:rPr>
        <w:t xml:space="preserve">Roz Gillis, Richard Madgwick, Marta Dal Corso, Federico Polisca, Katie Faillace, Cristiano Nicosia </w:t>
      </w:r>
    </w:p>
    <w:p w:rsidR="00000000" w:rsidDel="00000000" w:rsidP="00000000" w:rsidRDefault="00000000" w:rsidRPr="00000000" w14:paraId="00000108">
      <w:pPr>
        <w:jc w:val="both"/>
        <w:rPr>
          <w:b w:val="1"/>
          <w:i w:val="1"/>
        </w:rPr>
      </w:pPr>
      <w:r w:rsidDel="00000000" w:rsidR="00000000" w:rsidRPr="00000000">
        <w:rPr>
          <w:i w:val="1"/>
          <w:rtl w:val="0"/>
        </w:rPr>
        <w:t xml:space="preserve">Bronze Age herding in Northern Italy: case study of Oppeano multi-proxy isotope approach.</w:t>
      </w:r>
      <w:r w:rsidDel="00000000" w:rsidR="00000000" w:rsidRPr="00000000">
        <w:rPr>
          <w:rtl w:val="0"/>
        </w:rPr>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jc w:val="both"/>
        <w:rPr>
          <w:vertAlign w:val="superscript"/>
        </w:rPr>
      </w:pPr>
      <w:r w:rsidDel="00000000" w:rsidR="00000000" w:rsidRPr="00000000">
        <w:rPr>
          <w:rtl w:val="0"/>
        </w:rPr>
        <w:t xml:space="preserve">Theodore West, Elise Dufour, Brice Ephrem, Benoît Clavel, Isabelle Pianet</w:t>
      </w:r>
      <w:r w:rsidDel="00000000" w:rsidR="00000000" w:rsidRPr="00000000">
        <w:rPr>
          <w:rtl w:val="0"/>
        </w:rPr>
      </w:r>
    </w:p>
    <w:p w:rsidR="00000000" w:rsidDel="00000000" w:rsidP="00000000" w:rsidRDefault="00000000" w:rsidRPr="00000000" w14:paraId="0000010B">
      <w:pPr>
        <w:rPr>
          <w:b w:val="1"/>
          <w:i w:val="1"/>
        </w:rPr>
      </w:pPr>
      <w:r w:rsidDel="00000000" w:rsidR="00000000" w:rsidRPr="00000000">
        <w:rPr>
          <w:i w:val="1"/>
          <w:rtl w:val="0"/>
        </w:rPr>
        <w:t xml:space="preserve">Fishing and fish trade during the Roman era in southwestern France: an isotopic approach.</w:t>
      </w: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jc w:val="both"/>
        <w:rPr>
          <w:b w:val="1"/>
        </w:rPr>
      </w:pPr>
      <w:r w:rsidDel="00000000" w:rsidR="00000000" w:rsidRPr="00000000">
        <w:rPr>
          <w:rtl w:val="0"/>
        </w:rPr>
        <w:t xml:space="preserve">Vanessa Navarrete, João Luís Cardoso, Cleia Detry</w:t>
      </w:r>
      <w:r w:rsidDel="00000000" w:rsidR="00000000" w:rsidRPr="00000000">
        <w:rPr>
          <w:rtl w:val="0"/>
        </w:rPr>
      </w:r>
    </w:p>
    <w:p w:rsidR="00000000" w:rsidDel="00000000" w:rsidP="00000000" w:rsidRDefault="00000000" w:rsidRPr="00000000" w14:paraId="0000010E">
      <w:pPr>
        <w:jc w:val="both"/>
        <w:rPr>
          <w:b w:val="1"/>
          <w:i w:val="1"/>
        </w:rPr>
      </w:pPr>
      <w:r w:rsidDel="00000000" w:rsidR="00000000" w:rsidRPr="00000000">
        <w:rPr>
          <w:i w:val="1"/>
          <w:rtl w:val="0"/>
        </w:rPr>
        <w:t xml:space="preserve">Animal management practicas in the western Iberia Peninsula during the Neolithic-Chalcolithic transition: the study case of Leceia.</w:t>
      </w:r>
      <w:r w:rsidDel="00000000" w:rsidR="00000000" w:rsidRPr="00000000">
        <w:rPr>
          <w:rtl w:val="0"/>
        </w:rPr>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jc w:val="both"/>
        <w:rPr/>
      </w:pPr>
      <w:r w:rsidDel="00000000" w:rsidR="00000000" w:rsidRPr="00000000">
        <w:rPr>
          <w:rtl w:val="0"/>
        </w:rPr>
        <w:t xml:space="preserve">Rana Özbal, Stephanie Emra, Safoora Kamjan, Eylem Özdoğan, Norbert Benecke</w:t>
      </w:r>
    </w:p>
    <w:p w:rsidR="00000000" w:rsidDel="00000000" w:rsidP="00000000" w:rsidRDefault="00000000" w:rsidRPr="00000000" w14:paraId="00000111">
      <w:pPr>
        <w:jc w:val="both"/>
        <w:rPr>
          <w:b w:val="1"/>
          <w:i w:val="1"/>
        </w:rPr>
      </w:pPr>
      <w:r w:rsidDel="00000000" w:rsidR="00000000" w:rsidRPr="00000000">
        <w:rPr>
          <w:i w:val="1"/>
          <w:rtl w:val="0"/>
        </w:rPr>
        <w:t xml:space="preserve">Stable carbon and nitrogen isotope results for faunal samples from Aşaği Pinar.</w:t>
      </w:r>
      <w:r w:rsidDel="00000000" w:rsidR="00000000" w:rsidRPr="00000000">
        <w:rPr>
          <w:rtl w:val="0"/>
        </w:rPr>
      </w:r>
    </w:p>
    <w:p w:rsidR="00000000" w:rsidDel="00000000" w:rsidP="00000000" w:rsidRDefault="00000000" w:rsidRPr="00000000" w14:paraId="00000112">
      <w:pPr>
        <w:jc w:val="both"/>
        <w:rPr/>
      </w:pPr>
      <w:r w:rsidDel="00000000" w:rsidR="00000000" w:rsidRPr="00000000">
        <w:rPr>
          <w:rtl w:val="0"/>
        </w:rPr>
      </w:r>
    </w:p>
    <w:p w:rsidR="00000000" w:rsidDel="00000000" w:rsidP="00000000" w:rsidRDefault="00000000" w:rsidRPr="00000000" w14:paraId="00000113">
      <w:pPr>
        <w:jc w:val="both"/>
        <w:rPr>
          <w:b w:val="1"/>
        </w:rPr>
      </w:pPr>
      <w:r w:rsidDel="00000000" w:rsidR="00000000" w:rsidRPr="00000000">
        <w:rPr>
          <w:rtl w:val="0"/>
        </w:rPr>
        <w:t xml:space="preserve">Delphine Fremondeau, Bea DeCupere, Wim Van Neer, Rhiannon Stevens</w:t>
      </w:r>
      <w:r w:rsidDel="00000000" w:rsidR="00000000" w:rsidRPr="00000000">
        <w:rPr>
          <w:rtl w:val="0"/>
        </w:rPr>
      </w:r>
    </w:p>
    <w:p w:rsidR="00000000" w:rsidDel="00000000" w:rsidP="00000000" w:rsidRDefault="00000000" w:rsidRPr="00000000" w14:paraId="00000114">
      <w:pPr>
        <w:jc w:val="both"/>
        <w:rPr>
          <w:b w:val="1"/>
          <w:i w:val="1"/>
        </w:rPr>
      </w:pPr>
      <w:r w:rsidDel="00000000" w:rsidR="00000000" w:rsidRPr="00000000">
        <w:rPr>
          <w:i w:val="1"/>
          <w:rtl w:val="0"/>
        </w:rPr>
        <w:t xml:space="preserve">Stable isotope insights into goat birth seasonality at the Early Byzantine site of Sagalassos, SW Turkey. </w:t>
      </w:r>
      <w:r w:rsidDel="00000000" w:rsidR="00000000" w:rsidRPr="00000000">
        <w:rPr>
          <w:rtl w:val="0"/>
        </w:rPr>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jc w:val="both"/>
        <w:rPr>
          <w:b w:val="1"/>
        </w:rPr>
      </w:pPr>
      <w:r w:rsidDel="00000000" w:rsidR="00000000" w:rsidRPr="00000000">
        <w:rPr>
          <w:rtl w:val="0"/>
        </w:rPr>
        <w:t xml:space="preserve">Canan Çakırlar, Thom Brongers, Suzanne Pilaar Birch</w:t>
      </w:r>
      <w:r w:rsidDel="00000000" w:rsidR="00000000" w:rsidRPr="00000000">
        <w:rPr>
          <w:rtl w:val="0"/>
        </w:rPr>
      </w:r>
    </w:p>
    <w:p w:rsidR="00000000" w:rsidDel="00000000" w:rsidP="00000000" w:rsidRDefault="00000000" w:rsidRPr="00000000" w14:paraId="00000117">
      <w:pPr>
        <w:jc w:val="both"/>
        <w:rPr>
          <w:b w:val="1"/>
          <w:i w:val="1"/>
        </w:rPr>
      </w:pPr>
      <w:r w:rsidDel="00000000" w:rsidR="00000000" w:rsidRPr="00000000">
        <w:rPr>
          <w:i w:val="1"/>
          <w:rtl w:val="0"/>
        </w:rPr>
        <w:t xml:space="preserve">Neolithic herd management and foraging ecologies of wild fauna in Istanbul around 8.2k BP.</w:t>
      </w:r>
      <w:r w:rsidDel="00000000" w:rsidR="00000000" w:rsidRPr="00000000">
        <w:rPr>
          <w:rtl w:val="0"/>
        </w:rPr>
      </w:r>
    </w:p>
    <w:p w:rsidR="00000000" w:rsidDel="00000000" w:rsidP="00000000" w:rsidRDefault="00000000" w:rsidRPr="00000000" w14:paraId="00000118">
      <w:pPr>
        <w:jc w:val="both"/>
        <w:rPr/>
      </w:pPr>
      <w:r w:rsidDel="00000000" w:rsidR="00000000" w:rsidRPr="00000000">
        <w:rPr>
          <w:rtl w:val="0"/>
        </w:rPr>
      </w:r>
    </w:p>
    <w:p w:rsidR="00000000" w:rsidDel="00000000" w:rsidP="00000000" w:rsidRDefault="00000000" w:rsidRPr="00000000" w14:paraId="00000119">
      <w:pPr>
        <w:jc w:val="both"/>
        <w:rPr>
          <w:b w:val="1"/>
        </w:rPr>
      </w:pPr>
      <w:r w:rsidDel="00000000" w:rsidR="00000000" w:rsidRPr="00000000">
        <w:rPr>
          <w:rtl w:val="0"/>
        </w:rPr>
        <w:t xml:space="preserve">Adriana Leite, António Valera, Nelson Almeida, Cláudia Relvado, Rosalind E. Gillis</w:t>
      </w:r>
      <w:r w:rsidDel="00000000" w:rsidR="00000000" w:rsidRPr="00000000">
        <w:rPr>
          <w:rtl w:val="0"/>
        </w:rPr>
      </w:r>
    </w:p>
    <w:p w:rsidR="00000000" w:rsidDel="00000000" w:rsidP="00000000" w:rsidRDefault="00000000" w:rsidRPr="00000000" w14:paraId="0000011A">
      <w:pPr>
        <w:jc w:val="both"/>
        <w:rPr>
          <w:b w:val="1"/>
          <w:i w:val="1"/>
        </w:rPr>
      </w:pPr>
      <w:r w:rsidDel="00000000" w:rsidR="00000000" w:rsidRPr="00000000">
        <w:rPr>
          <w:i w:val="1"/>
          <w:rtl w:val="0"/>
        </w:rPr>
        <w:t xml:space="preserve">Investigating sheep management practices at the site of Perdigões (4th millennium BC, South Portugal) via sequential carbon and oxygen isotopic analyses of tooth enamel.</w:t>
      </w:r>
      <w:r w:rsidDel="00000000" w:rsidR="00000000" w:rsidRPr="00000000">
        <w:rPr>
          <w:rtl w:val="0"/>
        </w:rPr>
      </w:r>
    </w:p>
    <w:p w:rsidR="00000000" w:rsidDel="00000000" w:rsidP="00000000" w:rsidRDefault="00000000" w:rsidRPr="00000000" w14:paraId="0000011B">
      <w:pPr>
        <w:jc w:val="center"/>
        <w:rPr>
          <w:b w:val="1"/>
          <w:sz w:val="28"/>
          <w:szCs w:val="28"/>
        </w:rPr>
      </w:pPr>
      <w:r w:rsidDel="00000000" w:rsidR="00000000" w:rsidRPr="00000000">
        <w:rPr>
          <w:rtl w:val="0"/>
        </w:rPr>
      </w:r>
    </w:p>
    <w:p w:rsidR="00000000" w:rsidDel="00000000" w:rsidP="00000000" w:rsidRDefault="00000000" w:rsidRPr="00000000" w14:paraId="0000011C">
      <w:pPr>
        <w:jc w:val="center"/>
        <w:rPr>
          <w:b w:val="1"/>
          <w:sz w:val="28"/>
          <w:szCs w:val="28"/>
        </w:rPr>
      </w:pPr>
      <w:r w:rsidDel="00000000" w:rsidR="00000000" w:rsidRPr="00000000">
        <w:rPr>
          <w:rtl w:val="0"/>
        </w:rPr>
      </w:r>
    </w:p>
    <w:p w:rsidR="00000000" w:rsidDel="00000000" w:rsidP="00000000" w:rsidRDefault="00000000" w:rsidRPr="00000000" w14:paraId="0000011D">
      <w:pPr>
        <w:jc w:val="center"/>
        <w:rPr>
          <w:b w:val="1"/>
          <w:sz w:val="28"/>
          <w:szCs w:val="28"/>
        </w:rPr>
      </w:pPr>
      <w:r w:rsidDel="00000000" w:rsidR="00000000" w:rsidRPr="00000000">
        <w:rPr>
          <w:b w:val="1"/>
          <w:sz w:val="28"/>
          <w:szCs w:val="28"/>
          <w:rtl w:val="0"/>
        </w:rPr>
        <w:t xml:space="preserve">Keynote lectures</w:t>
      </w:r>
    </w:p>
    <w:p w:rsidR="00000000" w:rsidDel="00000000" w:rsidP="00000000" w:rsidRDefault="00000000" w:rsidRPr="00000000" w14:paraId="0000011E">
      <w:pPr>
        <w:rPr>
          <w:color w:val="242424"/>
          <w:highlight w:val="white"/>
        </w:rPr>
      </w:pPr>
      <w:r w:rsidDel="00000000" w:rsidR="00000000" w:rsidRPr="00000000">
        <w:rPr>
          <w:rtl w:val="0"/>
        </w:rPr>
      </w:r>
    </w:p>
    <w:p w:rsidR="00000000" w:rsidDel="00000000" w:rsidP="00000000" w:rsidRDefault="00000000" w:rsidRPr="00000000" w14:paraId="0000011F">
      <w:pPr>
        <w:rPr>
          <w:b w:val="1"/>
          <w:color w:val="242424"/>
          <w:highlight w:val="white"/>
        </w:rPr>
      </w:pPr>
      <w:r w:rsidDel="00000000" w:rsidR="00000000" w:rsidRPr="00000000">
        <w:rPr>
          <w:rtl w:val="0"/>
        </w:rPr>
      </w:r>
    </w:p>
    <w:p w:rsidR="00000000" w:rsidDel="00000000" w:rsidP="00000000" w:rsidRDefault="00000000" w:rsidRPr="00000000" w14:paraId="00000120">
      <w:pPr>
        <w:rPr>
          <w:b w:val="1"/>
          <w:color w:val="242424"/>
          <w:highlight w:val="white"/>
        </w:rPr>
      </w:pPr>
      <w:r w:rsidDel="00000000" w:rsidR="00000000" w:rsidRPr="00000000">
        <w:rPr>
          <w:b w:val="1"/>
          <w:color w:val="242424"/>
          <w:highlight w:val="white"/>
          <w:rtl w:val="0"/>
        </w:rPr>
        <w:t xml:space="preserve">Professor Julia Lee-Thorp</w:t>
      </w:r>
    </w:p>
    <w:p w:rsidR="00000000" w:rsidDel="00000000" w:rsidP="00000000" w:rsidRDefault="00000000" w:rsidRPr="00000000" w14:paraId="00000121">
      <w:pPr>
        <w:rPr>
          <w:color w:val="242424"/>
          <w:sz w:val="20"/>
          <w:szCs w:val="20"/>
          <w:highlight w:val="white"/>
        </w:rPr>
      </w:pPr>
      <w:r w:rsidDel="00000000" w:rsidR="00000000" w:rsidRPr="00000000">
        <w:rPr>
          <w:color w:val="242424"/>
          <w:sz w:val="20"/>
          <w:szCs w:val="20"/>
          <w:highlight w:val="white"/>
          <w:rtl w:val="0"/>
        </w:rPr>
        <w:t xml:space="preserve">Emeritus Professor of Archaeological Science, University of Oxford</w:t>
      </w:r>
    </w:p>
    <w:p w:rsidR="00000000" w:rsidDel="00000000" w:rsidP="00000000" w:rsidRDefault="00000000" w:rsidRPr="00000000" w14:paraId="00000122">
      <w:pPr>
        <w:rPr>
          <w:color w:val="242424"/>
          <w:highlight w:val="white"/>
        </w:rPr>
      </w:pPr>
      <w:r w:rsidDel="00000000" w:rsidR="00000000" w:rsidRPr="00000000">
        <w:rPr>
          <w:rtl w:val="0"/>
        </w:rPr>
      </w:r>
    </w:p>
    <w:p w:rsidR="00000000" w:rsidDel="00000000" w:rsidP="00000000" w:rsidRDefault="00000000" w:rsidRPr="00000000" w14:paraId="00000123">
      <w:pPr>
        <w:rPr>
          <w:b w:val="1"/>
          <w:i w:val="1"/>
          <w:color w:val="242424"/>
          <w:highlight w:val="white"/>
        </w:rPr>
      </w:pPr>
      <w:r w:rsidDel="00000000" w:rsidR="00000000" w:rsidRPr="00000000">
        <w:rPr>
          <w:b w:val="1"/>
          <w:i w:val="1"/>
          <w:color w:val="242424"/>
          <w:highlight w:val="white"/>
          <w:rtl w:val="0"/>
        </w:rPr>
        <w:t xml:space="preserve">Stable isotopes in biological apatites: what have we learnt over the last few decades?</w:t>
      </w:r>
    </w:p>
    <w:p w:rsidR="00000000" w:rsidDel="00000000" w:rsidP="00000000" w:rsidRDefault="00000000" w:rsidRPr="00000000" w14:paraId="00000124">
      <w:pPr>
        <w:rPr>
          <w:i w:val="1"/>
          <w:color w:val="242424"/>
          <w:highlight w:val="white"/>
        </w:rPr>
      </w:pPr>
      <w:r w:rsidDel="00000000" w:rsidR="00000000" w:rsidRPr="00000000">
        <w:rPr>
          <w:i w:val="1"/>
          <w:color w:val="242424"/>
          <w:highlight w:val="white"/>
          <w:rtl w:val="0"/>
        </w:rPr>
        <w:t xml:space="preserve"> </w:t>
      </w:r>
    </w:p>
    <w:p w:rsidR="00000000" w:rsidDel="00000000" w:rsidP="00000000" w:rsidRDefault="00000000" w:rsidRPr="00000000" w14:paraId="00000125">
      <w:pPr>
        <w:jc w:val="both"/>
        <w:rPr>
          <w:color w:val="242424"/>
          <w:highlight w:val="white"/>
        </w:rPr>
      </w:pPr>
      <w:r w:rsidDel="00000000" w:rsidR="00000000" w:rsidRPr="00000000">
        <w:rPr>
          <w:color w:val="242424"/>
          <w:highlight w:val="white"/>
          <w:rtl w:val="0"/>
        </w:rPr>
        <w:t xml:space="preserve">Stable isotope research in archaeology and palaeoanthropology has made huge strides in the last few decades, to the point that it has become an essential element of research into the past. My research career has revolved around the development and extension of isotope applications to bioapatites, particularly tooth enamel, with the key goal to extend our ability to address questions about dietary ecology of hominins and fauna in the distant past. This led in turn to opening up new opportunities to address topics in more recent archaeological contexts, notably hunter or herder management strategies. In this talk I review the development of bioapatite isotope research, picking out some of the issues with which we have had to grapple along the way. Mainly they are about how we know what we think we know now and where we may need to pay more attention. Some issues, such as concerns about diagenesis in enamel have turned out to be less problematic than feared, although chemical pretreatment regimes and their effects remain contested. I contend that ‘diagenesis-as-explanation’ has too often been the fallback when encountering results, we don’t quite understand. For instance, shifting pCO</w:t>
      </w:r>
      <w:r w:rsidDel="00000000" w:rsidR="00000000" w:rsidRPr="00000000">
        <w:rPr>
          <w:color w:val="242424"/>
          <w:highlight w:val="white"/>
          <w:vertAlign w:val="subscript"/>
          <w:rtl w:val="0"/>
        </w:rPr>
        <w:t xml:space="preserve">2</w:t>
      </w:r>
      <w:r w:rsidDel="00000000" w:rsidR="00000000" w:rsidRPr="00000000">
        <w:rPr>
          <w:color w:val="242424"/>
          <w:highlight w:val="white"/>
          <w:rtl w:val="0"/>
        </w:rPr>
        <w:t xml:space="preserve"> and </w:t>
      </w:r>
      <w:r w:rsidDel="00000000" w:rsidR="00000000" w:rsidRPr="00000000">
        <w:rPr>
          <w:rFonts w:ascii="Noto Sans Symbols" w:cs="Noto Sans Symbols" w:eastAsia="Noto Sans Symbols" w:hAnsi="Noto Sans Symbols"/>
          <w:color w:val="242424"/>
          <w:highlight w:val="white"/>
          <w:rtl w:val="0"/>
        </w:rPr>
        <w:t xml:space="preserve">δ</w:t>
      </w:r>
      <w:r w:rsidDel="00000000" w:rsidR="00000000" w:rsidRPr="00000000">
        <w:rPr>
          <w:color w:val="242424"/>
          <w:highlight w:val="white"/>
          <w:vertAlign w:val="superscript"/>
          <w:rtl w:val="0"/>
        </w:rPr>
        <w:t xml:space="preserve">13</w:t>
      </w:r>
      <w:r w:rsidDel="00000000" w:rsidR="00000000" w:rsidRPr="00000000">
        <w:rPr>
          <w:color w:val="242424"/>
          <w:highlight w:val="white"/>
          <w:rtl w:val="0"/>
        </w:rPr>
        <w:t xml:space="preserve">C</w:t>
      </w:r>
      <w:r w:rsidDel="00000000" w:rsidR="00000000" w:rsidRPr="00000000">
        <w:rPr>
          <w:color w:val="242424"/>
          <w:highlight w:val="white"/>
          <w:vertAlign w:val="subscript"/>
          <w:rtl w:val="0"/>
        </w:rPr>
        <w:t xml:space="preserve">CO2</w:t>
      </w:r>
      <w:r w:rsidDel="00000000" w:rsidR="00000000" w:rsidRPr="00000000">
        <w:rPr>
          <w:color w:val="242424"/>
          <w:highlight w:val="white"/>
          <w:rtl w:val="0"/>
        </w:rPr>
        <w:t xml:space="preserve"> on isotopic values of plants and animals compared from the present to the past was earlier attributed to diagenesis. An important newer area of research, studies of dietary shifts, or mobility, on intra-annual timescales, has been hampered by earlier limited understanding of the complexity of tooth and enamel structure and chemistry, and how isotopic composition reflects dietary input or digestive physiology. Resolving these issues is important for determining seasonal mobility and ecological shifts in both herd animals and humans, which as I show using an example from palaeoanthropology, allows us to interpret these sequences for individuals using ecological niche breadth and overlap concepts. </w:t>
      </w:r>
    </w:p>
    <w:p w:rsidR="00000000" w:rsidDel="00000000" w:rsidP="00000000" w:rsidRDefault="00000000" w:rsidRPr="00000000" w14:paraId="00000126">
      <w:pPr>
        <w:rPr>
          <w:color w:val="242424"/>
          <w:highlight w:val="white"/>
        </w:rPr>
      </w:pPr>
      <w:r w:rsidDel="00000000" w:rsidR="00000000" w:rsidRPr="00000000">
        <w:rPr>
          <w:rtl w:val="0"/>
        </w:rPr>
      </w:r>
    </w:p>
    <w:p w:rsidR="00000000" w:rsidDel="00000000" w:rsidP="00000000" w:rsidRDefault="00000000" w:rsidRPr="00000000" w14:paraId="00000127">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28">
      <w:pPr>
        <w:rPr/>
      </w:pPr>
      <w:r w:rsidDel="00000000" w:rsidR="00000000" w:rsidRPr="00000000">
        <w:rPr>
          <w:b w:val="1"/>
          <w:rtl w:val="0"/>
        </w:rPr>
        <w:t xml:space="preserve">Professor Christian Voigt</w:t>
      </w:r>
      <w:r w:rsidDel="00000000" w:rsidR="00000000" w:rsidRPr="00000000">
        <w:rPr>
          <w:rtl w:val="0"/>
        </w:rPr>
        <w:t xml:space="preserve"> (Leibniz Institute for Zoo and Wildlife research, Berlin)</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b w:val="1"/>
          <w:i w:val="1"/>
        </w:rPr>
      </w:pPr>
      <w:r w:rsidDel="00000000" w:rsidR="00000000" w:rsidRPr="00000000">
        <w:rPr>
          <w:b w:val="1"/>
          <w:i w:val="1"/>
          <w:rtl w:val="0"/>
        </w:rPr>
        <w:t xml:space="preserve">The nexus nature of stable isotopes: Linking the past with the present to predict the future.</w:t>
      </w:r>
    </w:p>
    <w:p w:rsidR="00000000" w:rsidDel="00000000" w:rsidP="00000000" w:rsidRDefault="00000000" w:rsidRPr="00000000" w14:paraId="0000012B">
      <w:pPr>
        <w:jc w:val="both"/>
        <w:rPr>
          <w:b w:val="1"/>
          <w:sz w:val="32"/>
          <w:szCs w:val="32"/>
        </w:rPr>
      </w:pPr>
      <w:r w:rsidDel="00000000" w:rsidR="00000000" w:rsidRPr="00000000">
        <w:rPr>
          <w:rtl w:val="0"/>
        </w:rPr>
      </w:r>
    </w:p>
    <w:p w:rsidR="00000000" w:rsidDel="00000000" w:rsidP="00000000" w:rsidRDefault="00000000" w:rsidRPr="00000000" w14:paraId="0000012C">
      <w:pPr>
        <w:jc w:val="both"/>
        <w:rPr/>
      </w:pPr>
      <w:r w:rsidDel="00000000" w:rsidR="00000000" w:rsidRPr="00000000">
        <w:rPr>
          <w:rtl w:val="0"/>
        </w:rPr>
        <w:t xml:space="preserve">Stable isotopes are used in modern zoology as environmental and behavioural proxies to better understand how humans interacted with wildlife and how biodiversity has evolved and is maintained in a changing environment. The use of stable isotopes as environmental proxies is based on the fact that animal bodies (including those of humans) are composed of stable isotopes of the same element, the relative proportion of which varies according to their diet. Because of the inertness of stable isotopes, both environmental and behavioural proxies can be maintained in animal tissues over long periods of time. However, the limited resistance of tissues to degeneration may compromise this approach. Considering these limitations, inferences can be made about past and present environmental conditions and behaviours. In my talk, I will illustrate the power and beauty of stable isotopes as a unifying technology that provides researchers with information about the past, present, and potentially the future. In particular, I will focus on human-wildlife interactions and how wildlife is responding to the great environmental crisis of the Anthropocene.</w:t>
      </w:r>
    </w:p>
    <w:p w:rsidR="00000000" w:rsidDel="00000000" w:rsidP="00000000" w:rsidRDefault="00000000" w:rsidRPr="00000000" w14:paraId="0000012D">
      <w:pPr>
        <w:jc w:val="both"/>
        <w:rPr>
          <w:b w:val="1"/>
          <w:sz w:val="32"/>
          <w:szCs w:val="32"/>
        </w:rPr>
      </w:pPr>
      <w:r w:rsidDel="00000000" w:rsidR="00000000" w:rsidRPr="00000000">
        <w:rPr>
          <w:rtl w:val="0"/>
        </w:rPr>
      </w:r>
    </w:p>
    <w:p w:rsidR="00000000" w:rsidDel="00000000" w:rsidP="00000000" w:rsidRDefault="00000000" w:rsidRPr="00000000" w14:paraId="0000012E">
      <w:pPr>
        <w:jc w:val="both"/>
        <w:rPr>
          <w:b w:val="1"/>
          <w:sz w:val="32"/>
          <w:szCs w:val="32"/>
        </w:rPr>
      </w:pPr>
      <w:r w:rsidDel="00000000" w:rsidR="00000000" w:rsidRPr="00000000">
        <w:rPr>
          <w:rtl w:val="0"/>
        </w:rPr>
      </w:r>
    </w:p>
    <w:p w:rsidR="00000000" w:rsidDel="00000000" w:rsidP="00000000" w:rsidRDefault="00000000" w:rsidRPr="00000000" w14:paraId="0000012F">
      <w:pPr>
        <w:jc w:val="both"/>
        <w:rPr>
          <w:b w:val="1"/>
          <w:sz w:val="32"/>
          <w:szCs w:val="32"/>
        </w:rPr>
      </w:pPr>
      <w:r w:rsidDel="00000000" w:rsidR="00000000" w:rsidRPr="00000000">
        <w:rPr>
          <w:b w:val="1"/>
          <w:sz w:val="32"/>
          <w:szCs w:val="32"/>
          <w:rtl w:val="0"/>
        </w:rPr>
        <w:t xml:space="preserve">Session: State of the Art</w:t>
      </w:r>
    </w:p>
    <w:p w:rsidR="00000000" w:rsidDel="00000000" w:rsidP="00000000" w:rsidRDefault="00000000" w:rsidRPr="00000000" w14:paraId="00000130">
      <w:pPr>
        <w:jc w:val="both"/>
        <w:rPr>
          <w:b w:val="1"/>
        </w:rPr>
      </w:pPr>
      <w:r w:rsidDel="00000000" w:rsidR="00000000" w:rsidRPr="00000000">
        <w:rPr>
          <w:rtl w:val="0"/>
        </w:rPr>
      </w:r>
    </w:p>
    <w:p w:rsidR="00000000" w:rsidDel="00000000" w:rsidP="00000000" w:rsidRDefault="00000000" w:rsidRPr="00000000" w14:paraId="00000131">
      <w:pPr>
        <w:jc w:val="both"/>
        <w:rPr>
          <w:b w:val="1"/>
          <w:sz w:val="32"/>
          <w:szCs w:val="32"/>
        </w:rPr>
      </w:pPr>
      <w:r w:rsidDel="00000000" w:rsidR="00000000" w:rsidRPr="00000000">
        <w:rPr>
          <w:b w:val="1"/>
          <w:sz w:val="32"/>
          <w:szCs w:val="32"/>
          <w:rtl w:val="0"/>
        </w:rPr>
        <w:t xml:space="preserve">Oral presentations</w:t>
      </w:r>
    </w:p>
    <w:p w:rsidR="00000000" w:rsidDel="00000000" w:rsidP="00000000" w:rsidRDefault="00000000" w:rsidRPr="00000000" w14:paraId="00000132">
      <w:pPr>
        <w:jc w:val="both"/>
        <w:rPr>
          <w:b w:val="1"/>
        </w:rPr>
      </w:pPr>
      <w:r w:rsidDel="00000000" w:rsidR="00000000" w:rsidRPr="00000000">
        <w:rPr>
          <w:rtl w:val="0"/>
        </w:rPr>
      </w:r>
    </w:p>
    <w:p w:rsidR="00000000" w:rsidDel="00000000" w:rsidP="00000000" w:rsidRDefault="00000000" w:rsidRPr="00000000" w14:paraId="00000133">
      <w:pPr>
        <w:jc w:val="both"/>
        <w:rPr>
          <w:b w:val="1"/>
        </w:rPr>
      </w:pPr>
      <w:r w:rsidDel="00000000" w:rsidR="00000000" w:rsidRPr="00000000">
        <w:rPr>
          <w:b w:val="1"/>
          <w:rtl w:val="0"/>
        </w:rPr>
        <w:t xml:space="preserve">Stuart Black, Blessing Chidimuro, Juliette Waterman, William Mills</w:t>
      </w:r>
    </w:p>
    <w:p w:rsidR="00000000" w:rsidDel="00000000" w:rsidP="00000000" w:rsidRDefault="00000000" w:rsidRPr="00000000" w14:paraId="00000134">
      <w:pPr>
        <w:jc w:val="both"/>
        <w:rPr>
          <w:sz w:val="20"/>
          <w:szCs w:val="20"/>
        </w:rPr>
      </w:pPr>
      <w:r w:rsidDel="00000000" w:rsidR="00000000" w:rsidRPr="00000000">
        <w:rPr>
          <w:sz w:val="20"/>
          <w:szCs w:val="20"/>
          <w:rtl w:val="0"/>
        </w:rPr>
        <w:t xml:space="preserve">University of Reading, United Kingdom</w:t>
      </w:r>
    </w:p>
    <w:p w:rsidR="00000000" w:rsidDel="00000000" w:rsidP="00000000" w:rsidRDefault="00000000" w:rsidRPr="00000000" w14:paraId="00000135">
      <w:pPr>
        <w:jc w:val="both"/>
        <w:rPr>
          <w:i w:val="1"/>
        </w:rPr>
      </w:pPr>
      <w:r w:rsidDel="00000000" w:rsidR="00000000" w:rsidRPr="00000000">
        <w:rPr>
          <w:rtl w:val="0"/>
        </w:rPr>
      </w:r>
    </w:p>
    <w:p w:rsidR="00000000" w:rsidDel="00000000" w:rsidP="00000000" w:rsidRDefault="00000000" w:rsidRPr="00000000" w14:paraId="00000136">
      <w:pPr>
        <w:jc w:val="both"/>
        <w:rPr>
          <w:i w:val="1"/>
          <w:u w:val="single"/>
        </w:rPr>
      </w:pPr>
      <w:r w:rsidDel="00000000" w:rsidR="00000000" w:rsidRPr="00000000">
        <w:rPr>
          <w:i w:val="1"/>
          <w:u w:val="single"/>
          <w:rtl w:val="0"/>
        </w:rPr>
        <w:t xml:space="preserve">Using large, multi-proxy isotope dataset approaches to understanding animal life histories</w:t>
      </w:r>
    </w:p>
    <w:p w:rsidR="00000000" w:rsidDel="00000000" w:rsidP="00000000" w:rsidRDefault="00000000" w:rsidRPr="00000000" w14:paraId="00000137">
      <w:pPr>
        <w:jc w:val="both"/>
        <w:rPr/>
      </w:pPr>
      <w:r w:rsidDel="00000000" w:rsidR="00000000" w:rsidRPr="00000000">
        <w:rPr>
          <w:rtl w:val="0"/>
        </w:rPr>
        <w:t xml:space="preserve">It is common for animal remains to be analysed using C and N isotopes to infer past diets. There are a number of published datasets of animal remains analysed using a combination of C-N-S isotopes, and even further limited datasets available where C-N-S-O-H have been analysed on the same specimens. Furthermore, the use of trace element analyses on bone samples has been underutilized, dogged by previous mis-interpretations that many element concentrations simply reflect the burial environment, and has rarely been used in conjunction with isotope approaches. Here we present multiple, large datasets of animal remains from museum collections and modern ecological studies that have been analysed by multi-proxy, isotope and trace element approaches. We will show the different discrimination power of information available from using C-N, C-N-S and C-N-S-O-H and C-N-S-O-H and trace element approaches on the same specimens and the value of these analyses. We present data from a large array of analysed remains including horses, cats, lions, foxes, squirrels, raptors and sea birds as examples from both modern and historical collections to show the depth and detail of diet and life history reconstruction that can be made using different dataset approaches. Data from carnivores show significant potential of using d2H to indicate trophic levels and additional prey source discrimination. Similarly, horse, cattle and pig specimens show further use of d2H in collagen as a potential source of valuable diet and environmental information from the past.</w:t>
      </w:r>
    </w:p>
    <w:p w:rsidR="00000000" w:rsidDel="00000000" w:rsidP="00000000" w:rsidRDefault="00000000" w:rsidRPr="00000000" w14:paraId="00000138">
      <w:pPr>
        <w:jc w:val="both"/>
        <w:rPr>
          <w:i w:val="1"/>
        </w:rPr>
      </w:pPr>
      <w:r w:rsidDel="00000000" w:rsidR="00000000" w:rsidRPr="00000000">
        <w:rPr>
          <w:i w:val="1"/>
          <w:rtl w:val="0"/>
        </w:rPr>
        <w:t xml:space="preserve">Keywords: multi-proxy, big data, isotope.</w:t>
      </w:r>
    </w:p>
    <w:p w:rsidR="00000000" w:rsidDel="00000000" w:rsidP="00000000" w:rsidRDefault="00000000" w:rsidRPr="00000000" w14:paraId="00000139">
      <w:pPr>
        <w:jc w:val="both"/>
        <w:rPr/>
      </w:pPr>
      <w:r w:rsidDel="00000000" w:rsidR="00000000" w:rsidRPr="00000000">
        <w:rPr>
          <w:rtl w:val="0"/>
        </w:rPr>
      </w:r>
    </w:p>
    <w:p w:rsidR="00000000" w:rsidDel="00000000" w:rsidP="00000000" w:rsidRDefault="00000000" w:rsidRPr="00000000" w14:paraId="0000013A">
      <w:pPr>
        <w:jc w:val="both"/>
        <w:rPr/>
      </w:pPr>
      <w:r w:rsidDel="00000000" w:rsidR="00000000" w:rsidRPr="00000000">
        <w:rPr>
          <w:rtl w:val="0"/>
        </w:rPr>
      </w:r>
    </w:p>
    <w:p w:rsidR="00000000" w:rsidDel="00000000" w:rsidP="00000000" w:rsidRDefault="00000000" w:rsidRPr="00000000" w14:paraId="0000013B">
      <w:pPr>
        <w:jc w:val="both"/>
        <w:rPr>
          <w:b w:val="1"/>
        </w:rPr>
      </w:pPr>
      <w:r w:rsidDel="00000000" w:rsidR="00000000" w:rsidRPr="00000000">
        <w:rPr>
          <w:b w:val="1"/>
          <w:rtl w:val="0"/>
        </w:rPr>
        <w:t xml:space="preserve">Felix Sadebeck</w:t>
      </w:r>
    </w:p>
    <w:p w:rsidR="00000000" w:rsidDel="00000000" w:rsidP="00000000" w:rsidRDefault="00000000" w:rsidRPr="00000000" w14:paraId="0000013C">
      <w:pPr>
        <w:jc w:val="both"/>
        <w:rPr>
          <w:sz w:val="20"/>
          <w:szCs w:val="20"/>
        </w:rPr>
      </w:pPr>
      <w:r w:rsidDel="00000000" w:rsidR="00000000" w:rsidRPr="00000000">
        <w:rPr>
          <w:sz w:val="20"/>
          <w:szCs w:val="20"/>
          <w:rtl w:val="0"/>
        </w:rPr>
        <w:t xml:space="preserve">University of Exeter, United Kingdom</w:t>
      </w:r>
    </w:p>
    <w:p w:rsidR="00000000" w:rsidDel="00000000" w:rsidP="00000000" w:rsidRDefault="00000000" w:rsidRPr="00000000" w14:paraId="0000013D">
      <w:pPr>
        <w:jc w:val="both"/>
        <w:rPr>
          <w:i w:val="1"/>
        </w:rPr>
      </w:pPr>
      <w:r w:rsidDel="00000000" w:rsidR="00000000" w:rsidRPr="00000000">
        <w:rPr>
          <w:rtl w:val="0"/>
        </w:rPr>
      </w:r>
    </w:p>
    <w:p w:rsidR="00000000" w:rsidDel="00000000" w:rsidP="00000000" w:rsidRDefault="00000000" w:rsidRPr="00000000" w14:paraId="0000013E">
      <w:pPr>
        <w:jc w:val="both"/>
        <w:rPr>
          <w:i w:val="1"/>
          <w:u w:val="single"/>
        </w:rPr>
      </w:pPr>
      <w:r w:rsidDel="00000000" w:rsidR="00000000" w:rsidRPr="00000000">
        <w:rPr>
          <w:i w:val="1"/>
          <w:u w:val="single"/>
          <w:rtl w:val="0"/>
        </w:rPr>
        <w:t xml:space="preserve">Making the most out of it: analysing the fattend and starved livestock siblings from Halle </w:t>
      </w:r>
    </w:p>
    <w:p w:rsidR="00000000" w:rsidDel="00000000" w:rsidP="00000000" w:rsidRDefault="00000000" w:rsidRPr="00000000" w14:paraId="0000013F">
      <w:pPr>
        <w:jc w:val="both"/>
        <w:rPr/>
      </w:pPr>
      <w:r w:rsidDel="00000000" w:rsidR="00000000" w:rsidRPr="00000000">
        <w:rPr>
          <w:rtl w:val="0"/>
        </w:rPr>
        <w:t xml:space="preserve">Several attempts have already been undertaken to identify and understand the impact that starvation can have on the isotopic signatures of mammals. A general increase of δ15N values during starvation was observed and some studies indicated a depletion of δ13C values, potentially linked to the metabolism of the body's fat reserves. However, it is difficult to observe more than just "moderate" differences as modern research ethics require experiments with live animals to be stopped before serious starvation begins. But if we want to understand the isotopic impact of starvation to an extent that allows us to interpret archaeological remains, we would need reference material that was subjected to serious starvation. The Julius-Kühn Museum in Halle offers material that can help us understand these questions without the necessity to breach modern research ethics. During the early 20th century, starvation and fattening experiments took place in the city’s livestock research centre, whereby cattle and pig siblings were separated and one starved, the other fattened. When the starved animal died, its fattened sibling was slaughtered. This whole experiment is well-documented and provides, therefore, a rich source for stable isotope research. This paper will discuss some preliminary results deriving from the analysis of those unique remains and explore further steps that could be done to make the most out of this material. As it is not possible to recreate such brutal experiments, it is our duty as a research community to think collectively about how we can extract as much relevant information from the available remains as possible.</w:t>
      </w:r>
    </w:p>
    <w:p w:rsidR="00000000" w:rsidDel="00000000" w:rsidP="00000000" w:rsidRDefault="00000000" w:rsidRPr="00000000" w14:paraId="00000140">
      <w:pPr>
        <w:jc w:val="both"/>
        <w:rPr/>
      </w:pPr>
      <w:r w:rsidDel="00000000" w:rsidR="00000000" w:rsidRPr="00000000">
        <w:rPr>
          <w:rtl w:val="0"/>
        </w:rPr>
      </w:r>
    </w:p>
    <w:p w:rsidR="00000000" w:rsidDel="00000000" w:rsidP="00000000" w:rsidRDefault="00000000" w:rsidRPr="00000000" w14:paraId="00000141">
      <w:pPr>
        <w:jc w:val="both"/>
        <w:rPr/>
      </w:pPr>
      <w:r w:rsidDel="00000000" w:rsidR="00000000" w:rsidRPr="00000000">
        <w:rPr>
          <w:rtl w:val="0"/>
        </w:rPr>
      </w:r>
    </w:p>
    <w:p w:rsidR="00000000" w:rsidDel="00000000" w:rsidP="00000000" w:rsidRDefault="00000000" w:rsidRPr="00000000" w14:paraId="00000142">
      <w:pPr>
        <w:jc w:val="both"/>
        <w:rPr>
          <w:b w:val="1"/>
        </w:rPr>
      </w:pPr>
      <w:r w:rsidDel="00000000" w:rsidR="00000000" w:rsidRPr="00000000">
        <w:rPr>
          <w:b w:val="1"/>
          <w:rtl w:val="0"/>
        </w:rPr>
        <w:t xml:space="preserve">Priscilla Wehi</w:t>
      </w:r>
    </w:p>
    <w:p w:rsidR="00000000" w:rsidDel="00000000" w:rsidP="00000000" w:rsidRDefault="00000000" w:rsidRPr="00000000" w14:paraId="00000143">
      <w:pPr>
        <w:jc w:val="both"/>
        <w:rPr>
          <w:sz w:val="20"/>
          <w:szCs w:val="20"/>
        </w:rPr>
      </w:pPr>
      <w:r w:rsidDel="00000000" w:rsidR="00000000" w:rsidRPr="00000000">
        <w:rPr>
          <w:sz w:val="20"/>
          <w:szCs w:val="20"/>
          <w:rtl w:val="0"/>
        </w:rPr>
        <w:t xml:space="preserve">University of Otago, New Zealand</w:t>
      </w:r>
    </w:p>
    <w:p w:rsidR="00000000" w:rsidDel="00000000" w:rsidP="00000000" w:rsidRDefault="00000000" w:rsidRPr="00000000" w14:paraId="00000144">
      <w:pPr>
        <w:jc w:val="both"/>
        <w:rPr>
          <w:b w:val="1"/>
        </w:rPr>
      </w:pPr>
      <w:r w:rsidDel="00000000" w:rsidR="00000000" w:rsidRPr="00000000">
        <w:rPr>
          <w:rtl w:val="0"/>
        </w:rPr>
      </w:r>
    </w:p>
    <w:p w:rsidR="00000000" w:rsidDel="00000000" w:rsidP="00000000" w:rsidRDefault="00000000" w:rsidRPr="00000000" w14:paraId="00000145">
      <w:pPr>
        <w:jc w:val="both"/>
        <w:rPr>
          <w:i w:val="1"/>
          <w:u w:val="single"/>
        </w:rPr>
      </w:pPr>
      <w:r w:rsidDel="00000000" w:rsidR="00000000" w:rsidRPr="00000000">
        <w:rPr>
          <w:i w:val="1"/>
          <w:u w:val="single"/>
          <w:rtl w:val="0"/>
        </w:rPr>
        <w:t xml:space="preserve">Kahukurī (dogskin cloaks), and cultural and scientific considerations around their sampling in Aotearoa New Zealand</w:t>
      </w:r>
    </w:p>
    <w:p w:rsidR="00000000" w:rsidDel="00000000" w:rsidP="00000000" w:rsidRDefault="00000000" w:rsidRPr="00000000" w14:paraId="00000146">
      <w:pPr>
        <w:jc w:val="both"/>
        <w:rPr/>
      </w:pPr>
      <w:r w:rsidDel="00000000" w:rsidR="00000000" w:rsidRPr="00000000">
        <w:rPr>
          <w:rtl w:val="0"/>
        </w:rPr>
        <w:t xml:space="preserve">Museum collections, from natural history specimens and bones to historical artefacts, are increasingly subjected to isotopic and other analyses. However, such sampling is conducted within what can be a conflicted context around ownership, power, and provenance. Māori dogs (kurī) arrived in Aotearoa New Zealand with the first Polynesian voyagers, and were highly valued as food, pets, and to make clothing before their disappearance after European arrival in around 1800 AD. The aim of the research is to provide a glimpse into the ecology of the kurī, and its relationships with people, through isotopic sampling of hair from cloaks made prior to, or during, the early stages of European settlement. However, these analyses require destructive sampling of hair from these unique 19th century cloaks. I highlight some of the sampling challenges and how we have overcome these, as well as the value of cross-referencing data with historical documents and other sources of knowledge. Finally, I discuss how we have addressed some of the power issues, the importance of community involvement in these projects, and the need to return data to communities as part of our cultural responsibility, in ways that grow community connection to both science and the artefacts (taonga) themselves.</w:t>
      </w:r>
    </w:p>
    <w:p w:rsidR="00000000" w:rsidDel="00000000" w:rsidP="00000000" w:rsidRDefault="00000000" w:rsidRPr="00000000" w14:paraId="00000147">
      <w:pPr>
        <w:jc w:val="both"/>
        <w:rPr>
          <w:i w:val="1"/>
        </w:rPr>
      </w:pPr>
      <w:r w:rsidDel="00000000" w:rsidR="00000000" w:rsidRPr="00000000">
        <w:rPr>
          <w:i w:val="1"/>
          <w:rtl w:val="0"/>
        </w:rPr>
        <w:t xml:space="preserve">Keywords: Dogs, Dogskin cloaks, museums, Indigenous, Maori.</w:t>
      </w:r>
    </w:p>
    <w:p w:rsidR="00000000" w:rsidDel="00000000" w:rsidP="00000000" w:rsidRDefault="00000000" w:rsidRPr="00000000" w14:paraId="00000148">
      <w:pPr>
        <w:jc w:val="both"/>
        <w:rPr/>
      </w:pPr>
      <w:r w:rsidDel="00000000" w:rsidR="00000000" w:rsidRPr="00000000">
        <w:rPr>
          <w:rtl w:val="0"/>
        </w:rPr>
      </w:r>
    </w:p>
    <w:p w:rsidR="00000000" w:rsidDel="00000000" w:rsidP="00000000" w:rsidRDefault="00000000" w:rsidRPr="00000000" w14:paraId="00000149">
      <w:pPr>
        <w:jc w:val="both"/>
        <w:rPr/>
      </w:pPr>
      <w:r w:rsidDel="00000000" w:rsidR="00000000" w:rsidRPr="00000000">
        <w:rPr>
          <w:rtl w:val="0"/>
        </w:rPr>
      </w:r>
    </w:p>
    <w:p w:rsidR="00000000" w:rsidDel="00000000" w:rsidP="00000000" w:rsidRDefault="00000000" w:rsidRPr="00000000" w14:paraId="0000014A">
      <w:pPr>
        <w:jc w:val="both"/>
        <w:rPr>
          <w:b w:val="1"/>
        </w:rPr>
      </w:pPr>
      <w:r w:rsidDel="00000000" w:rsidR="00000000" w:rsidRPr="00000000">
        <w:rPr>
          <w:b w:val="1"/>
          <w:rtl w:val="0"/>
        </w:rPr>
        <w:t xml:space="preserve">Wouter Bonhof</w:t>
      </w:r>
    </w:p>
    <w:p w:rsidR="00000000" w:rsidDel="00000000" w:rsidP="00000000" w:rsidRDefault="00000000" w:rsidRPr="00000000" w14:paraId="0000014B">
      <w:pPr>
        <w:jc w:val="both"/>
        <w:rPr>
          <w:sz w:val="20"/>
          <w:szCs w:val="20"/>
        </w:rPr>
      </w:pPr>
      <w:r w:rsidDel="00000000" w:rsidR="00000000" w:rsidRPr="00000000">
        <w:rPr>
          <w:sz w:val="20"/>
          <w:szCs w:val="20"/>
          <w:rtl w:val="0"/>
        </w:rPr>
        <w:t xml:space="preserve">University of Exeter, United Kingdom</w:t>
      </w:r>
    </w:p>
    <w:p w:rsidR="00000000" w:rsidDel="00000000" w:rsidP="00000000" w:rsidRDefault="00000000" w:rsidRPr="00000000" w14:paraId="0000014C">
      <w:pPr>
        <w:jc w:val="both"/>
        <w:rPr>
          <w:b w:val="1"/>
        </w:rPr>
      </w:pPr>
      <w:r w:rsidDel="00000000" w:rsidR="00000000" w:rsidRPr="00000000">
        <w:rPr>
          <w:rtl w:val="0"/>
        </w:rPr>
      </w:r>
    </w:p>
    <w:p w:rsidR="00000000" w:rsidDel="00000000" w:rsidP="00000000" w:rsidRDefault="00000000" w:rsidRPr="00000000" w14:paraId="0000014D">
      <w:pPr>
        <w:jc w:val="both"/>
        <w:rPr>
          <w:i w:val="1"/>
          <w:u w:val="single"/>
        </w:rPr>
      </w:pPr>
      <w:r w:rsidDel="00000000" w:rsidR="00000000" w:rsidRPr="00000000">
        <w:rPr>
          <w:i w:val="1"/>
          <w:u w:val="single"/>
          <w:rtl w:val="0"/>
        </w:rPr>
        <w:t xml:space="preserve">Assessing the effect of permafrost on the preservation of endogenous 87Sr/86Sr ratios in dentine with laser ablation MC-ICPMS</w:t>
      </w:r>
    </w:p>
    <w:p w:rsidR="00000000" w:rsidDel="00000000" w:rsidP="00000000" w:rsidRDefault="00000000" w:rsidRPr="00000000" w14:paraId="0000014E">
      <w:pPr>
        <w:jc w:val="both"/>
        <w:rPr/>
      </w:pPr>
      <w:r w:rsidDel="00000000" w:rsidR="00000000" w:rsidRPr="00000000">
        <w:rPr>
          <w:rtl w:val="0"/>
        </w:rPr>
        <w:t xml:space="preserve">The ratio between the radiogenic 87Sr and the stable 86Sr – which is widely used in provenance and migration studies – can be studied both through thermal ionization mass spectrometry (TIMS) and laser ablation multi-collector inductively coupled plasma mass spectrometry (LA-MC-ICPMS). Whilst TIMS is more precise, LA-MC-ICPMS can provide near continuous data along a tooth’s growth axis. The latter allows one to directly compare intra-tooth 87Sr/86Sr ratios of enamel and the adjacent dentine with little risk of discrepancies due to inconsistent sample sizes and sample locations. Enamel and dentine have similar growth rates and do not remodel after mineralization has been completed. Intra-tooth patterns in δ13C and δ18O are therefore comparable, though with slight differences due to discrepancies in mineralization rates. Several studies have shown that, compared to enamel, dentine is highly susceptible to diagenetic alteration of its 87Sr/86Sr ratio and most archaeological studies have therefore focused on enamel. The effects of permafrost on this process, however, have not been studied in detail. Permafrost conditions generally preserve collagen and aDNA better than other regions and some studies have suggested that this also aids in the preservation of authentic 87Sr/86Sr ratios in dentine. In this study, we analysed the intra-tooth 87Sr/86Sr ratios of dentine in Pleistocene teeth from the archaeological site Yana RHS (Russia). The enamel of these teeth had previously been analysed and exhibited non-local 87Sr/86Sr ratios. Results varied greatly between individuals: some exhibited similar intra-tooth patterns in their enamel and dentine, while others revealed marked differences. Explanations for these discrepancies, how these results influence current practices, and required future research are discussed.</w:t>
      </w:r>
    </w:p>
    <w:p w:rsidR="00000000" w:rsidDel="00000000" w:rsidP="00000000" w:rsidRDefault="00000000" w:rsidRPr="00000000" w14:paraId="0000014F">
      <w:pPr>
        <w:jc w:val="both"/>
        <w:rPr>
          <w:i w:val="1"/>
        </w:rPr>
      </w:pPr>
      <w:r w:rsidDel="00000000" w:rsidR="00000000" w:rsidRPr="00000000">
        <w:rPr>
          <w:i w:val="1"/>
          <w:rtl w:val="0"/>
        </w:rPr>
        <w:t xml:space="preserve">Keywords: Strontium, permafrost, diagenesis, dentine, enamel.</w:t>
      </w:r>
    </w:p>
    <w:p w:rsidR="00000000" w:rsidDel="00000000" w:rsidP="00000000" w:rsidRDefault="00000000" w:rsidRPr="00000000" w14:paraId="00000150">
      <w:pPr>
        <w:jc w:val="both"/>
        <w:rPr/>
      </w:pPr>
      <w:r w:rsidDel="00000000" w:rsidR="00000000" w:rsidRPr="00000000">
        <w:rPr>
          <w:rtl w:val="0"/>
        </w:rPr>
      </w:r>
    </w:p>
    <w:p w:rsidR="00000000" w:rsidDel="00000000" w:rsidP="00000000" w:rsidRDefault="00000000" w:rsidRPr="00000000" w14:paraId="00000151">
      <w:pPr>
        <w:jc w:val="both"/>
        <w:rPr/>
      </w:pPr>
      <w:r w:rsidDel="00000000" w:rsidR="00000000" w:rsidRPr="00000000">
        <w:rPr>
          <w:rtl w:val="0"/>
        </w:rPr>
      </w:r>
    </w:p>
    <w:p w:rsidR="00000000" w:rsidDel="00000000" w:rsidP="00000000" w:rsidRDefault="00000000" w:rsidRPr="00000000" w14:paraId="00000152">
      <w:pPr>
        <w:jc w:val="both"/>
        <w:rPr>
          <w:b w:val="1"/>
        </w:rPr>
      </w:pPr>
      <w:r w:rsidDel="00000000" w:rsidR="00000000" w:rsidRPr="00000000">
        <w:rPr>
          <w:b w:val="1"/>
          <w:rtl w:val="0"/>
        </w:rPr>
        <w:t xml:space="preserve">Karolina Varkuleviciute, Cheryl Makarewicz, Christine Winter-Schuh</w:t>
      </w:r>
    </w:p>
    <w:p w:rsidR="00000000" w:rsidDel="00000000" w:rsidP="00000000" w:rsidRDefault="00000000" w:rsidRPr="00000000" w14:paraId="00000153">
      <w:pPr>
        <w:jc w:val="both"/>
        <w:rPr>
          <w:sz w:val="20"/>
          <w:szCs w:val="20"/>
        </w:rPr>
      </w:pPr>
      <w:r w:rsidDel="00000000" w:rsidR="00000000" w:rsidRPr="00000000">
        <w:rPr>
          <w:sz w:val="20"/>
          <w:szCs w:val="20"/>
          <w:rtl w:val="0"/>
        </w:rPr>
        <w:t xml:space="preserve">Christian Albrechts University Kiel, ROOTS Cluster of Excellence, Germany</w:t>
      </w:r>
    </w:p>
    <w:p w:rsidR="00000000" w:rsidDel="00000000" w:rsidP="00000000" w:rsidRDefault="00000000" w:rsidRPr="00000000" w14:paraId="00000154">
      <w:pPr>
        <w:jc w:val="both"/>
        <w:rPr/>
      </w:pPr>
      <w:r w:rsidDel="00000000" w:rsidR="00000000" w:rsidRPr="00000000">
        <w:rPr>
          <w:rtl w:val="0"/>
        </w:rPr>
      </w:r>
    </w:p>
    <w:p w:rsidR="00000000" w:rsidDel="00000000" w:rsidP="00000000" w:rsidRDefault="00000000" w:rsidRPr="00000000" w14:paraId="00000155">
      <w:pPr>
        <w:jc w:val="both"/>
        <w:rPr>
          <w:u w:val="single"/>
        </w:rPr>
      </w:pPr>
      <w:r w:rsidDel="00000000" w:rsidR="00000000" w:rsidRPr="00000000">
        <w:rPr>
          <w:i w:val="1"/>
          <w:u w:val="single"/>
          <w:rtl w:val="0"/>
        </w:rPr>
        <w:t xml:space="preserve">To treat or not to treat? Methodological considerations for carbon and oxygen isotope analysis of enamel</w:t>
      </w:r>
      <w:r w:rsidDel="00000000" w:rsidR="00000000" w:rsidRPr="00000000">
        <w:rPr>
          <w:rtl w:val="0"/>
        </w:rPr>
      </w:r>
    </w:p>
    <w:p w:rsidR="00000000" w:rsidDel="00000000" w:rsidP="00000000" w:rsidRDefault="00000000" w:rsidRPr="00000000" w14:paraId="00000156">
      <w:pPr>
        <w:jc w:val="both"/>
        <w:rPr/>
      </w:pPr>
      <w:r w:rsidDel="00000000" w:rsidR="00000000" w:rsidRPr="00000000">
        <w:rPr>
          <w:rtl w:val="0"/>
        </w:rPr>
        <w:t xml:space="preserve">Bulk and sequential carbon and oxygen stable isotope analysis of teeth is a very commonly used biomolecular method applied to faunal material. However, some recent discussions have brought out questions about what kind of sample preparation and sampling strategy is the most appropriate for removing contamination and providing the most accurate results. While some argue for a need of acid-based enamel preparation protocols to remove exogenous carbonates, others question what is being removed during the treatment and whether it makes a significant difference to the isotope values and our interpretations of them. Here we will present results of a methodological experiment using Attenuated Total Reflection-Fourier Transform Infrared Spectroscopy (ATR-FTIR) and stable isotope analysis in order to test the effect of various acid-based lab protocols on enamel composition, sample loss, paired δ13C and δ18O values.</w:t>
      </w:r>
    </w:p>
    <w:p w:rsidR="00000000" w:rsidDel="00000000" w:rsidP="00000000" w:rsidRDefault="00000000" w:rsidRPr="00000000" w14:paraId="00000157">
      <w:pPr>
        <w:jc w:val="both"/>
        <w:rPr>
          <w:i w:val="1"/>
        </w:rPr>
      </w:pPr>
      <w:r w:rsidDel="00000000" w:rsidR="00000000" w:rsidRPr="00000000">
        <w:rPr>
          <w:i w:val="1"/>
          <w:rtl w:val="0"/>
        </w:rPr>
        <w:t xml:space="preserve">Keywords: Carbon and Oxygen Isotopes, Methodology, Animal teeth, FTIR.</w:t>
      </w:r>
    </w:p>
    <w:p w:rsidR="00000000" w:rsidDel="00000000" w:rsidP="00000000" w:rsidRDefault="00000000" w:rsidRPr="00000000" w14:paraId="00000158">
      <w:pPr>
        <w:jc w:val="both"/>
        <w:rPr/>
      </w:pPr>
      <w:r w:rsidDel="00000000" w:rsidR="00000000" w:rsidRPr="00000000">
        <w:rPr>
          <w:rtl w:val="0"/>
        </w:rPr>
      </w:r>
    </w:p>
    <w:p w:rsidR="00000000" w:rsidDel="00000000" w:rsidP="00000000" w:rsidRDefault="00000000" w:rsidRPr="00000000" w14:paraId="00000159">
      <w:pPr>
        <w:jc w:val="both"/>
        <w:rPr>
          <w:b w:val="1"/>
        </w:rPr>
      </w:pPr>
      <w:r w:rsidDel="00000000" w:rsidR="00000000" w:rsidRPr="00000000">
        <w:rPr>
          <w:rtl w:val="0"/>
        </w:rPr>
      </w:r>
    </w:p>
    <w:p w:rsidR="00000000" w:rsidDel="00000000" w:rsidP="00000000" w:rsidRDefault="00000000" w:rsidRPr="00000000" w14:paraId="0000015A">
      <w:pPr>
        <w:jc w:val="both"/>
        <w:rPr>
          <w:b w:val="1"/>
        </w:rPr>
      </w:pPr>
      <w:r w:rsidDel="00000000" w:rsidR="00000000" w:rsidRPr="00000000">
        <w:rPr>
          <w:b w:val="1"/>
          <w:rtl w:val="0"/>
        </w:rPr>
        <w:t xml:space="preserve">Alejandro Hiram Marín Leyva</w:t>
      </w:r>
    </w:p>
    <w:p w:rsidR="00000000" w:rsidDel="00000000" w:rsidP="00000000" w:rsidRDefault="00000000" w:rsidRPr="00000000" w14:paraId="0000015B">
      <w:pPr>
        <w:jc w:val="both"/>
        <w:rPr>
          <w:sz w:val="20"/>
          <w:szCs w:val="20"/>
        </w:rPr>
      </w:pPr>
      <w:r w:rsidDel="00000000" w:rsidR="00000000" w:rsidRPr="00000000">
        <w:rPr>
          <w:sz w:val="20"/>
          <w:szCs w:val="20"/>
          <w:rtl w:val="0"/>
        </w:rPr>
        <w:t xml:space="preserve">Laboratorio de Paleontología, Ciudad Universitaria, Morelia, Michoacán, México</w:t>
      </w:r>
    </w:p>
    <w:p w:rsidR="00000000" w:rsidDel="00000000" w:rsidP="00000000" w:rsidRDefault="00000000" w:rsidRPr="00000000" w14:paraId="0000015C">
      <w:pPr>
        <w:jc w:val="both"/>
        <w:rPr>
          <w:b w:val="1"/>
        </w:rPr>
      </w:pPr>
      <w:r w:rsidDel="00000000" w:rsidR="00000000" w:rsidRPr="00000000">
        <w:rPr>
          <w:rtl w:val="0"/>
        </w:rPr>
      </w:r>
    </w:p>
    <w:p w:rsidR="00000000" w:rsidDel="00000000" w:rsidP="00000000" w:rsidRDefault="00000000" w:rsidRPr="00000000" w14:paraId="0000015D">
      <w:pPr>
        <w:jc w:val="both"/>
        <w:rPr>
          <w:i w:val="1"/>
          <w:u w:val="single"/>
        </w:rPr>
      </w:pPr>
      <w:r w:rsidDel="00000000" w:rsidR="00000000" w:rsidRPr="00000000">
        <w:rPr>
          <w:i w:val="1"/>
          <w:u w:val="single"/>
          <w:rtl w:val="0"/>
        </w:rPr>
        <w:t xml:space="preserve">State of the art on stable and radiogenic isotopes in the paleoecology of fossil mammals in Mexico</w:t>
      </w:r>
    </w:p>
    <w:p w:rsidR="00000000" w:rsidDel="00000000" w:rsidP="00000000" w:rsidRDefault="00000000" w:rsidRPr="00000000" w14:paraId="0000015E">
      <w:pPr>
        <w:jc w:val="both"/>
        <w:rPr/>
      </w:pPr>
      <w:r w:rsidDel="00000000" w:rsidR="00000000" w:rsidRPr="00000000">
        <w:rPr>
          <w:rtl w:val="0"/>
        </w:rPr>
        <w:t xml:space="preserve">In Mexico, the use of stable isotopic markers (Carbon and Oxygen) and radiogenic (Strontium) in the paleoecology of fossil mammals has boomed in the last two decades. This work presents a review of the studies of stable and radiogenic isotopes in Mexico that compiles information from 27 references to summarize the current knowledge on this subject and show the informative potential of its analysis. The results show that these studies have focused mainly on species from Miocene and Pliocene, but primarily Pleistocene with North American Land Mammals Ages from Clarendonian to Racholabrean. The taxonomic groups studied belong to the orders and families (Xenarthra (Pampatheriidae, Glyptodontidae), Carnivora (Canidae, Felidae), Rodentia (Cricetidae Caviidae), Perissodactyla (Equidae), Cetartiodactyla (Bovidae, Camelidae, Cervidae), Proboscidea (Elephantidae, Gomphotheriidae, Mammutidae) and Notungulata (Toxodontidae)) and approximately 27 species. The stable isotopes mainly used are C and O to know diet, habitat type, and climatic variations. At the same time, Sr is the most used radiogenic element to understand geographic origin and mobility; sometimes, a mixture of O and Sr is used to clarify some populations' home ranges. In Mexico, the dominant sample form is the bulk sample, while only four studies use serial samples, and most use the carbonate molecule from the enamel or the osteodentin. The analysis and processing of the samples have been done primarily in institutions from Mexico, the United States, and Spain. This compilation shows that, although the use of isotopic tools in Mexico has grown, there are still some points to be strengthened, such as the study of organisms from other temporalities, the use of serial samples, and a better understanding of the flow and bioavailability of isotopes of C, O, and Sr in current Mexican ecosystems.</w:t>
      </w:r>
    </w:p>
    <w:p w:rsidR="00000000" w:rsidDel="00000000" w:rsidP="00000000" w:rsidRDefault="00000000" w:rsidRPr="00000000" w14:paraId="0000015F">
      <w:pPr>
        <w:jc w:val="both"/>
        <w:rPr>
          <w:i w:val="1"/>
        </w:rPr>
      </w:pPr>
      <w:r w:rsidDel="00000000" w:rsidR="00000000" w:rsidRPr="00000000">
        <w:rPr>
          <w:i w:val="1"/>
          <w:rtl w:val="0"/>
        </w:rPr>
        <w:t xml:space="preserve">Keywords: Isotopes, paleoecology, mammals, Mexico.</w:t>
      </w:r>
    </w:p>
    <w:p w:rsidR="00000000" w:rsidDel="00000000" w:rsidP="00000000" w:rsidRDefault="00000000" w:rsidRPr="00000000" w14:paraId="00000160">
      <w:pPr>
        <w:jc w:val="both"/>
        <w:rPr>
          <w:b w:val="1"/>
        </w:rPr>
      </w:pPr>
      <w:r w:rsidDel="00000000" w:rsidR="00000000" w:rsidRPr="00000000">
        <w:rPr>
          <w:rtl w:val="0"/>
        </w:rPr>
      </w:r>
    </w:p>
    <w:p w:rsidR="00000000" w:rsidDel="00000000" w:rsidP="00000000" w:rsidRDefault="00000000" w:rsidRPr="00000000" w14:paraId="00000161">
      <w:pPr>
        <w:jc w:val="both"/>
        <w:rPr>
          <w:b w:val="1"/>
        </w:rPr>
      </w:pPr>
      <w:r w:rsidDel="00000000" w:rsidR="00000000" w:rsidRPr="00000000">
        <w:rPr>
          <w:rtl w:val="0"/>
        </w:rPr>
      </w:r>
    </w:p>
    <w:p w:rsidR="00000000" w:rsidDel="00000000" w:rsidP="00000000" w:rsidRDefault="00000000" w:rsidRPr="00000000" w14:paraId="00000162">
      <w:pPr>
        <w:jc w:val="both"/>
        <w:rPr>
          <w:b w:val="1"/>
        </w:rPr>
      </w:pPr>
      <w:r w:rsidDel="00000000" w:rsidR="00000000" w:rsidRPr="00000000">
        <w:rPr>
          <w:b w:val="1"/>
          <w:rtl w:val="0"/>
        </w:rPr>
        <w:t xml:space="preserve">Mélanie Roffet-Salque1, Richard P. Evershed1, George Davey-Smith2,3, Adrian Timpson4,5, Yoan Diekmann4, Matthew S. Lyon2,3,6, Mark G. Thomas7,4 and collaborators. </w:t>
      </w:r>
    </w:p>
    <w:p w:rsidR="00000000" w:rsidDel="00000000" w:rsidP="00000000" w:rsidRDefault="00000000" w:rsidRPr="00000000" w14:paraId="00000163">
      <w:pPr>
        <w:jc w:val="both"/>
        <w:rPr>
          <w:sz w:val="20"/>
          <w:szCs w:val="20"/>
        </w:rPr>
      </w:pPr>
      <w:r w:rsidDel="00000000" w:rsidR="00000000" w:rsidRPr="00000000">
        <w:rPr>
          <w:sz w:val="20"/>
          <w:szCs w:val="20"/>
          <w:rtl w:val="0"/>
        </w:rPr>
        <w:t xml:space="preserve">1Organic Geochemistry Unit, School of Chemistry, University of Bristol, Bristol, UK. 2MRC Integrative Epidemiology Unit, University of Bristol, Bristol, UK. 3Population Health Sciences, Bristol Medical School, University of Bristol, Bristol, UK. 4Department of Genetics, Evolution and Environment, University College London, London, UK. 5Present address: Max Planck Institute for the Science of Human History, Jena, Germany. 6NIHR Bristol Biomedical Research Centre, University of Bristol, Bristol, UK. 7UCL Genetics Institute, University College London, London, UK.</w:t>
      </w:r>
    </w:p>
    <w:p w:rsidR="00000000" w:rsidDel="00000000" w:rsidP="00000000" w:rsidRDefault="00000000" w:rsidRPr="00000000" w14:paraId="00000164">
      <w:pPr>
        <w:jc w:val="both"/>
        <w:rPr/>
      </w:pPr>
      <w:r w:rsidDel="00000000" w:rsidR="00000000" w:rsidRPr="00000000">
        <w:rPr>
          <w:rtl w:val="0"/>
        </w:rPr>
      </w:r>
    </w:p>
    <w:p w:rsidR="00000000" w:rsidDel="00000000" w:rsidP="00000000" w:rsidRDefault="00000000" w:rsidRPr="00000000" w14:paraId="00000165">
      <w:pPr>
        <w:jc w:val="both"/>
        <w:rPr>
          <w:i w:val="1"/>
          <w:u w:val="single"/>
        </w:rPr>
      </w:pPr>
      <w:r w:rsidDel="00000000" w:rsidR="00000000" w:rsidRPr="00000000">
        <w:rPr>
          <w:i w:val="1"/>
          <w:u w:val="single"/>
          <w:rtl w:val="0"/>
        </w:rPr>
        <w:t xml:space="preserve">Dairying, diseases and the evolution of lactase persistence in Europe</w:t>
      </w:r>
    </w:p>
    <w:p w:rsidR="00000000" w:rsidDel="00000000" w:rsidP="00000000" w:rsidRDefault="00000000" w:rsidRPr="00000000" w14:paraId="00000166">
      <w:pPr>
        <w:jc w:val="both"/>
        <w:rPr/>
      </w:pPr>
      <w:r w:rsidDel="00000000" w:rsidR="00000000" w:rsidRPr="00000000">
        <w:rPr>
          <w:rtl w:val="0"/>
        </w:rPr>
        <w:t xml:space="preserve">When our ancestors started to consume the milk of domesticated ruminant animals, they set in motion a sequence of events leading to the evolution of lactase persistence (LP) and ultimately the modern global dairy industry, using about 1.5 billion cattle as the principal milk source. Evidence for prehistoric milk exploitation based on faunal study indicates considerable spatial variability. Analysis of sheep or goat age-at-death profiles suggest that dairy management was concurrent with the domestication of caprines in southwest Asia in the ninth millennium bc. Here we provide detailed distributions of milk exploitation across Europe over the past 9,000 years using around 7,000 pottery fat residues from more than 550 archaeological sites. European milk use was widespread from the Neolithic period onwards but varied spatially and temporally in intensity. Notably, LP selection varying with levels of prehistoric milk exploitation is no better at explaining LP allele frequency trajectories than uniform selection since the Neolithic period. In the UK Biobank cohort of 500,000 contemporary Europeans, LP genotype was only weakly associated with milk consumption and did not show consistent associations with improved fitness or health indicators. This suggests that other reasons for the beneficial effects of LP should be considered for its rapid frequency increase. We propose that lactase non-persistent individuals consumed milk when it became available but, under conditions of famine and/or increased pathogen exposure, this was disadvantageous, driving LP selection in prehistoric Europe. This study uses a triangulation of evidence framework, in which different data sources and methods are brought to together to shed light on the impact of prehistoric use of milk on our biology.</w:t>
      </w:r>
    </w:p>
    <w:p w:rsidR="00000000" w:rsidDel="00000000" w:rsidP="00000000" w:rsidRDefault="00000000" w:rsidRPr="00000000" w14:paraId="00000167">
      <w:pPr>
        <w:jc w:val="both"/>
        <w:rPr>
          <w:i w:val="1"/>
        </w:rPr>
      </w:pPr>
      <w:r w:rsidDel="00000000" w:rsidR="00000000" w:rsidRPr="00000000">
        <w:rPr>
          <w:i w:val="1"/>
          <w:rtl w:val="0"/>
        </w:rPr>
        <w:t xml:space="preserve">Keywords: Milk, lipid residue, lactase persistence, domestication.</w:t>
      </w:r>
    </w:p>
    <w:p w:rsidR="00000000" w:rsidDel="00000000" w:rsidP="00000000" w:rsidRDefault="00000000" w:rsidRPr="00000000" w14:paraId="00000168">
      <w:pPr>
        <w:jc w:val="both"/>
        <w:rPr/>
      </w:pPr>
      <w:r w:rsidDel="00000000" w:rsidR="00000000" w:rsidRPr="00000000">
        <w:rPr>
          <w:rtl w:val="0"/>
        </w:rPr>
      </w:r>
    </w:p>
    <w:p w:rsidR="00000000" w:rsidDel="00000000" w:rsidP="00000000" w:rsidRDefault="00000000" w:rsidRPr="00000000" w14:paraId="00000169">
      <w:pPr>
        <w:jc w:val="both"/>
        <w:rPr/>
      </w:pPr>
      <w:r w:rsidDel="00000000" w:rsidR="00000000" w:rsidRPr="00000000">
        <w:rPr>
          <w:rtl w:val="0"/>
        </w:rPr>
      </w:r>
    </w:p>
    <w:p w:rsidR="00000000" w:rsidDel="00000000" w:rsidP="00000000" w:rsidRDefault="00000000" w:rsidRPr="00000000" w14:paraId="0000016A">
      <w:pPr>
        <w:jc w:val="both"/>
        <w:rPr>
          <w:b w:val="1"/>
        </w:rPr>
      </w:pPr>
      <w:r w:rsidDel="00000000" w:rsidR="00000000" w:rsidRPr="00000000">
        <w:rPr>
          <w:b w:val="1"/>
          <w:rtl w:val="0"/>
        </w:rPr>
        <w:t xml:space="preserve">Rhiannon Stevens</w:t>
      </w:r>
    </w:p>
    <w:p w:rsidR="00000000" w:rsidDel="00000000" w:rsidP="00000000" w:rsidRDefault="00000000" w:rsidRPr="00000000" w14:paraId="0000016B">
      <w:pPr>
        <w:jc w:val="both"/>
        <w:rPr>
          <w:sz w:val="20"/>
          <w:szCs w:val="20"/>
        </w:rPr>
      </w:pPr>
      <w:r w:rsidDel="00000000" w:rsidR="00000000" w:rsidRPr="00000000">
        <w:rPr>
          <w:sz w:val="20"/>
          <w:szCs w:val="20"/>
          <w:rtl w:val="0"/>
        </w:rPr>
        <w:t xml:space="preserve">Institute of Archaeology, UCL, United Kingdom</w:t>
      </w:r>
    </w:p>
    <w:p w:rsidR="00000000" w:rsidDel="00000000" w:rsidP="00000000" w:rsidRDefault="00000000" w:rsidRPr="00000000" w14:paraId="0000016C">
      <w:pPr>
        <w:jc w:val="both"/>
        <w:rPr>
          <w:i w:val="1"/>
        </w:rPr>
      </w:pPr>
      <w:r w:rsidDel="00000000" w:rsidR="00000000" w:rsidRPr="00000000">
        <w:rPr>
          <w:rtl w:val="0"/>
        </w:rPr>
      </w:r>
    </w:p>
    <w:p w:rsidR="00000000" w:rsidDel="00000000" w:rsidP="00000000" w:rsidRDefault="00000000" w:rsidRPr="00000000" w14:paraId="0000016D">
      <w:pPr>
        <w:jc w:val="both"/>
        <w:rPr>
          <w:i w:val="1"/>
          <w:u w:val="single"/>
        </w:rPr>
      </w:pPr>
      <w:r w:rsidDel="00000000" w:rsidR="00000000" w:rsidRPr="00000000">
        <w:rPr>
          <w:i w:val="1"/>
          <w:u w:val="single"/>
          <w:rtl w:val="0"/>
        </w:rPr>
        <w:t xml:space="preserve">The Late Glacial Palaeolithic re-colonisation of Britain: using faunal oxygen isotopes to bridge the gap between palaeoclimatology and archaeology</w:t>
      </w:r>
    </w:p>
    <w:p w:rsidR="00000000" w:rsidDel="00000000" w:rsidP="00000000" w:rsidRDefault="00000000" w:rsidRPr="00000000" w14:paraId="0000016E">
      <w:pPr>
        <w:jc w:val="both"/>
        <w:rPr/>
      </w:pPr>
      <w:r w:rsidDel="00000000" w:rsidR="00000000" w:rsidRPr="00000000">
        <w:rPr>
          <w:rtl w:val="0"/>
        </w:rPr>
        <w:t xml:space="preserve">At the height of the Last Glacial Maximum (LGM), two thirds of Britain was covered by ice and the remaining ice-free area is thought to have been largely abandoned by many animal species, including humans. However, once the ice sheets began to melt, the recolonisation of Britain appears to have been rapid, occurring against a backdrop of high-magnitude climatic and environmental change. There is much debate about the precise conditions experienced by these recolonising populations, and specifically whether people were present in Britain before, during, or after the onset of the Late Glacial Interstadial (LGI) warming that occurred ~14.7ka. Part of the difficulty in establishing the climatic context of recolonisation lies in our ability to acquire accurate and comparable chronologies from palaeoclimatic and archaeological archives, and in reconciling differences in the spatial and temporal resolutions offered by the different data sets. The oxygen isotope value of tooth enamel (δ18Oenamel) is an important and well recognised tool that allows such challenges to be overcome because 1) δ18Oenamel is determined by the oxygen isotopic composition of ingested water, which (in certain contexts) is directly linked to climate, 2) tooth enamel forms over several months to years, providing a climatic record at a resolution relevant to the human experience, and 3) analysis of specimens bearing evidence of anthropogenic action provides climatic data directly connected to the archaeological record. Here we discuss δ18Oenamel results from horse teeth from key Late Glacial archaeological sites in Britain and include comparative data from pre-LGM and modern samples. We show that people were present in Late Glacial Britain prior to the LGI warming, highlight the ability of the technique to identify high-resolution temporal and spatial differences between different sites and regions, and discuss implications for our understanding of the Late Glacial British archaeological record.</w:t>
      </w:r>
    </w:p>
    <w:p w:rsidR="00000000" w:rsidDel="00000000" w:rsidP="00000000" w:rsidRDefault="00000000" w:rsidRPr="00000000" w14:paraId="0000016F">
      <w:pPr>
        <w:jc w:val="both"/>
        <w:rPr>
          <w:i w:val="1"/>
        </w:rPr>
      </w:pPr>
      <w:r w:rsidDel="00000000" w:rsidR="00000000" w:rsidRPr="00000000">
        <w:rPr>
          <w:i w:val="1"/>
          <w:rtl w:val="0"/>
        </w:rPr>
        <w:t xml:space="preserve">Keywords: </w:t>
      </w:r>
    </w:p>
    <w:p w:rsidR="00000000" w:rsidDel="00000000" w:rsidP="00000000" w:rsidRDefault="00000000" w:rsidRPr="00000000" w14:paraId="00000170">
      <w:pPr>
        <w:jc w:val="both"/>
        <w:rPr>
          <w:b w:val="1"/>
        </w:rPr>
      </w:pPr>
      <w:r w:rsidDel="00000000" w:rsidR="00000000" w:rsidRPr="00000000">
        <w:rPr>
          <w:rtl w:val="0"/>
        </w:rPr>
      </w:r>
    </w:p>
    <w:p w:rsidR="00000000" w:rsidDel="00000000" w:rsidP="00000000" w:rsidRDefault="00000000" w:rsidRPr="00000000" w14:paraId="00000171">
      <w:pPr>
        <w:jc w:val="both"/>
        <w:rPr>
          <w:b w:val="1"/>
        </w:rPr>
      </w:pPr>
      <w:r w:rsidDel="00000000" w:rsidR="00000000" w:rsidRPr="00000000">
        <w:rPr>
          <w:rtl w:val="0"/>
        </w:rPr>
      </w:r>
    </w:p>
    <w:p w:rsidR="00000000" w:rsidDel="00000000" w:rsidP="00000000" w:rsidRDefault="00000000" w:rsidRPr="00000000" w14:paraId="00000172">
      <w:pPr>
        <w:jc w:val="both"/>
        <w:rPr>
          <w:b w:val="1"/>
        </w:rPr>
      </w:pPr>
      <w:r w:rsidDel="00000000" w:rsidR="00000000" w:rsidRPr="00000000">
        <w:rPr>
          <w:rtl w:val="0"/>
        </w:rPr>
      </w:r>
    </w:p>
    <w:p w:rsidR="00000000" w:rsidDel="00000000" w:rsidP="00000000" w:rsidRDefault="00000000" w:rsidRPr="00000000" w14:paraId="00000173">
      <w:pPr>
        <w:jc w:val="both"/>
        <w:rPr>
          <w:b w:val="1"/>
        </w:rPr>
      </w:pPr>
      <w:r w:rsidDel="00000000" w:rsidR="00000000" w:rsidRPr="00000000">
        <w:rPr>
          <w:rtl w:val="0"/>
        </w:rPr>
      </w:r>
    </w:p>
    <w:p w:rsidR="00000000" w:rsidDel="00000000" w:rsidP="00000000" w:rsidRDefault="00000000" w:rsidRPr="00000000" w14:paraId="00000174">
      <w:pPr>
        <w:jc w:val="both"/>
        <w:rPr>
          <w:b w:val="1"/>
        </w:rPr>
      </w:pPr>
      <w:r w:rsidDel="00000000" w:rsidR="00000000" w:rsidRPr="00000000">
        <w:rPr>
          <w:b w:val="1"/>
          <w:rtl w:val="0"/>
        </w:rPr>
        <w:t xml:space="preserve">Izzy Davis, Melanie Roffet-Salque</w:t>
      </w:r>
    </w:p>
    <w:p w:rsidR="00000000" w:rsidDel="00000000" w:rsidP="00000000" w:rsidRDefault="00000000" w:rsidRPr="00000000" w14:paraId="00000175">
      <w:pPr>
        <w:jc w:val="both"/>
        <w:rPr>
          <w:sz w:val="20"/>
          <w:szCs w:val="20"/>
        </w:rPr>
      </w:pPr>
      <w:r w:rsidDel="00000000" w:rsidR="00000000" w:rsidRPr="00000000">
        <w:rPr>
          <w:sz w:val="20"/>
          <w:szCs w:val="20"/>
          <w:rtl w:val="0"/>
        </w:rPr>
        <w:t xml:space="preserve">Organic Geochemistry Unit, University of Bristol, United Kingdom</w:t>
      </w:r>
    </w:p>
    <w:p w:rsidR="00000000" w:rsidDel="00000000" w:rsidP="00000000" w:rsidRDefault="00000000" w:rsidRPr="00000000" w14:paraId="00000176">
      <w:pPr>
        <w:jc w:val="both"/>
        <w:rPr>
          <w:i w:val="1"/>
        </w:rPr>
      </w:pPr>
      <w:r w:rsidDel="00000000" w:rsidR="00000000" w:rsidRPr="00000000">
        <w:rPr>
          <w:rtl w:val="0"/>
        </w:rPr>
      </w:r>
    </w:p>
    <w:p w:rsidR="00000000" w:rsidDel="00000000" w:rsidP="00000000" w:rsidRDefault="00000000" w:rsidRPr="00000000" w14:paraId="00000177">
      <w:pPr>
        <w:jc w:val="both"/>
        <w:rPr>
          <w:i w:val="1"/>
          <w:u w:val="single"/>
        </w:rPr>
      </w:pPr>
      <w:r w:rsidDel="00000000" w:rsidR="00000000" w:rsidRPr="00000000">
        <w:rPr>
          <w:i w:val="1"/>
          <w:u w:val="single"/>
          <w:rtl w:val="0"/>
        </w:rPr>
        <w:t xml:space="preserve">Molecular and isotopic approaches to the investigation of freshwater resource use by early central European farmers</w:t>
      </w:r>
    </w:p>
    <w:p w:rsidR="00000000" w:rsidDel="00000000" w:rsidP="00000000" w:rsidRDefault="00000000" w:rsidRPr="00000000" w14:paraId="00000178">
      <w:pPr>
        <w:jc w:val="both"/>
        <w:rPr/>
      </w:pPr>
      <w:r w:rsidDel="00000000" w:rsidR="00000000" w:rsidRPr="00000000">
        <w:rPr>
          <w:rtl w:val="0"/>
        </w:rPr>
        <w:t xml:space="preserve">The exploitation of freshwater fish and other aquatic resources can be difficult to identify in the archaeological record. Zooarchaeological assemblages may not provide an accurate insight into freshwater exploitation due to inadequate recovery methods and poor preservation of fish remains. Stable isotope analysis of human collagen can be used to identify freshwater dietary contributions, but the method can be limited for identifying low levels of exploitation. However, it is possible to directly detect the processing of aquatic resources in archaeological pottery vessels through isotopic and molecular analysis of lipid residues. Lipids from aquatic and terrestrial sources can be differentiated using compound-specific stable carbon isotope analysis of fatty acids recovered from animal fat residues. Marine and terrestrial lipids show a clear difference in values, whereas lipids from freshwater sources show broad variation depending on the species and local environment. Even intensive exploitation of freshwater fish may not be evident in these isotopic values, and low levels of exploitation may be undetectable in vessels used for both freshwater and terrestrial products. Freshwater resource processing can also be identified through the detection of lipid biomarker compounds, which can be detected at low concentrations to reveal low levels of freshwater resource processing. Focusing on early Neolithic settlements located next to freshwater environments, we investigate the exploitation of these resources by the first farming populations in central Europe. Pottery lipid residues are analysed using high-sensitivity gas chromatography-quadrupole-time-of-flight-mass spectrometry (GC-qTOFMS) for aquatic biomarker detection, combined with compound-specific stable carbon isotope analysis. Results are compared to zooarchaeological remains and stable isotope analysis of human collagen and provide new insights into the use of freshwater resources by early farmers.</w:t>
      </w:r>
    </w:p>
    <w:p w:rsidR="00000000" w:rsidDel="00000000" w:rsidP="00000000" w:rsidRDefault="00000000" w:rsidRPr="00000000" w14:paraId="00000179">
      <w:pPr>
        <w:jc w:val="both"/>
        <w:rPr>
          <w:i w:val="1"/>
        </w:rPr>
      </w:pPr>
      <w:r w:rsidDel="00000000" w:rsidR="00000000" w:rsidRPr="00000000">
        <w:rPr>
          <w:i w:val="1"/>
          <w:rtl w:val="0"/>
        </w:rPr>
        <w:t xml:space="preserve">Keywords: fishing, freshwater, farming, aquatic biomarkers, pottery, early Neolithic.</w:t>
      </w:r>
    </w:p>
    <w:p w:rsidR="00000000" w:rsidDel="00000000" w:rsidP="00000000" w:rsidRDefault="00000000" w:rsidRPr="00000000" w14:paraId="0000017A">
      <w:pPr>
        <w:jc w:val="both"/>
        <w:rPr>
          <w:b w:val="1"/>
        </w:rPr>
      </w:pPr>
      <w:r w:rsidDel="00000000" w:rsidR="00000000" w:rsidRPr="00000000">
        <w:rPr>
          <w:rtl w:val="0"/>
        </w:rPr>
      </w:r>
    </w:p>
    <w:p w:rsidR="00000000" w:rsidDel="00000000" w:rsidP="00000000" w:rsidRDefault="00000000" w:rsidRPr="00000000" w14:paraId="0000017B">
      <w:pPr>
        <w:jc w:val="both"/>
        <w:rPr>
          <w:b w:val="1"/>
        </w:rPr>
      </w:pPr>
      <w:r w:rsidDel="00000000" w:rsidR="00000000" w:rsidRPr="00000000">
        <w:rPr>
          <w:rtl w:val="0"/>
        </w:rPr>
      </w:r>
    </w:p>
    <w:p w:rsidR="00000000" w:rsidDel="00000000" w:rsidP="00000000" w:rsidRDefault="00000000" w:rsidRPr="00000000" w14:paraId="0000017C">
      <w:pPr>
        <w:jc w:val="both"/>
        <w:rPr>
          <w:b w:val="1"/>
        </w:rPr>
      </w:pPr>
      <w:r w:rsidDel="00000000" w:rsidR="00000000" w:rsidRPr="00000000">
        <w:rPr>
          <w:b w:val="1"/>
          <w:rtl w:val="0"/>
        </w:rPr>
        <w:t xml:space="preserve">Carlo Cocozza1, Wolf-Rüdiger Teegen2, Silvia Soncin3, Giulia Formichella3, Mary Anne Tafuri3, Ricardo Fernandes1</w:t>
      </w:r>
    </w:p>
    <w:p w:rsidR="00000000" w:rsidDel="00000000" w:rsidP="00000000" w:rsidRDefault="00000000" w:rsidRPr="00000000" w14:paraId="0000017D">
      <w:pPr>
        <w:rPr>
          <w:sz w:val="20"/>
          <w:szCs w:val="20"/>
        </w:rPr>
      </w:pPr>
      <w:r w:rsidDel="00000000" w:rsidR="00000000" w:rsidRPr="00000000">
        <w:rPr>
          <w:sz w:val="20"/>
          <w:szCs w:val="20"/>
          <w:rtl w:val="0"/>
        </w:rPr>
        <w:t xml:space="preserve">1Max Planck Institute of Geoanthropology, Germany, 2Ludwig-Maximilians-Universität München, Germany, 3“Sapienza” Università di Roma, Italy</w:t>
      </w:r>
    </w:p>
    <w:p w:rsidR="00000000" w:rsidDel="00000000" w:rsidP="00000000" w:rsidRDefault="00000000" w:rsidRPr="00000000" w14:paraId="0000017E">
      <w:pPr>
        <w:jc w:val="both"/>
        <w:rPr>
          <w:b w:val="1"/>
        </w:rPr>
      </w:pPr>
      <w:r w:rsidDel="00000000" w:rsidR="00000000" w:rsidRPr="00000000">
        <w:rPr>
          <w:rtl w:val="0"/>
        </w:rPr>
      </w:r>
    </w:p>
    <w:p w:rsidR="00000000" w:rsidDel="00000000" w:rsidP="00000000" w:rsidRDefault="00000000" w:rsidRPr="00000000" w14:paraId="0000017F">
      <w:pPr>
        <w:jc w:val="both"/>
        <w:rPr>
          <w:i w:val="1"/>
          <w:color w:val="000000"/>
          <w:u w:val="single"/>
        </w:rPr>
      </w:pPr>
      <w:r w:rsidDel="00000000" w:rsidR="00000000" w:rsidRPr="00000000">
        <w:rPr>
          <w:i w:val="1"/>
          <w:color w:val="000000"/>
          <w:u w:val="single"/>
          <w:rtl w:val="0"/>
        </w:rPr>
        <w:t xml:space="preserve">Tracing 8,000 years of European environmental and agricultural history using archaeofaunal Big isotopic Data</w:t>
      </w:r>
    </w:p>
    <w:p w:rsidR="00000000" w:rsidDel="00000000" w:rsidP="00000000" w:rsidRDefault="00000000" w:rsidRPr="00000000" w14:paraId="00000180">
      <w:pPr>
        <w:jc w:val="both"/>
        <w:rPr/>
      </w:pPr>
      <w:r w:rsidDel="00000000" w:rsidR="00000000" w:rsidRPr="00000000">
        <w:rPr>
          <w:rtl w:val="0"/>
        </w:rPr>
        <w:t xml:space="preserve">Archaeofaunal isotopic data informs on paleo-environmental/climatic conditions and on agricultural management practices. Recognizing this research potential, the number of isotopic studies on ancient fauna has been rapidly growing and already accumulated data allows for comparative studies at various spatio-temporal scales. We employed a Big Data approach to investigate archaeofaunal isotopic spatial patterns and diachronic shifts in Europe from prehistory until the end of the medieval period. We relied on data from three isotopic databases within the IsoMemo initiative. The MAIA, Isotòpia, and CIMA databases that compile data for prehistoric, Graeco-Roman, and Medieval periods in Europe, respectively. The combined dataset consists of more than 30,000 carbon, nitrogen, oxygen, sulphur, and strontium isotopic measurements. Bayesian modelling of the data revealed significant spatial variability across Europe. For example the contrast between Northern versus Mediterranean regions suggests that broad ecological characteristics, climatic differences, but also how human millennial activities have adapted to local environments impacted isotopic values differently. Moreover, the rise, expansion, and collapse of civilisations such as the Roman empire follows parallel isotopic shifts that are possibly associated with changes in agricultural activities and socio-economic agenda. Preliminary results hence overall suggest historical links between millennia of agricultural practices and a spatio-temporal variability in archaeofaunal isotopic values.</w:t>
      </w:r>
    </w:p>
    <w:p w:rsidR="00000000" w:rsidDel="00000000" w:rsidP="00000000" w:rsidRDefault="00000000" w:rsidRPr="00000000" w14:paraId="00000181">
      <w:pPr>
        <w:jc w:val="both"/>
        <w:rPr>
          <w:i w:val="1"/>
        </w:rPr>
      </w:pPr>
      <w:r w:rsidDel="00000000" w:rsidR="00000000" w:rsidRPr="00000000">
        <w:rPr>
          <w:i w:val="1"/>
          <w:rtl w:val="0"/>
        </w:rPr>
        <w:t xml:space="preserve">Keywords: Big Data; Bayesian Modelling; Spatio-Temporal change; animal management practices.</w:t>
      </w:r>
    </w:p>
    <w:p w:rsidR="00000000" w:rsidDel="00000000" w:rsidP="00000000" w:rsidRDefault="00000000" w:rsidRPr="00000000" w14:paraId="00000182">
      <w:pPr>
        <w:jc w:val="both"/>
        <w:rPr>
          <w:b w:val="1"/>
        </w:rPr>
      </w:pPr>
      <w:r w:rsidDel="00000000" w:rsidR="00000000" w:rsidRPr="00000000">
        <w:rPr>
          <w:rtl w:val="0"/>
        </w:rPr>
      </w:r>
    </w:p>
    <w:p w:rsidR="00000000" w:rsidDel="00000000" w:rsidP="00000000" w:rsidRDefault="00000000" w:rsidRPr="00000000" w14:paraId="00000183">
      <w:pPr>
        <w:jc w:val="both"/>
        <w:rPr>
          <w:b w:val="1"/>
        </w:rPr>
      </w:pPr>
      <w:r w:rsidDel="00000000" w:rsidR="00000000" w:rsidRPr="00000000">
        <w:rPr>
          <w:rtl w:val="0"/>
        </w:rPr>
      </w:r>
    </w:p>
    <w:p w:rsidR="00000000" w:rsidDel="00000000" w:rsidP="00000000" w:rsidRDefault="00000000" w:rsidRPr="00000000" w14:paraId="00000184">
      <w:pPr>
        <w:spacing w:line="240" w:lineRule="auto"/>
        <w:rPr>
          <w:b w:val="1"/>
        </w:rPr>
      </w:pPr>
      <w:r w:rsidDel="00000000" w:rsidR="00000000" w:rsidRPr="00000000">
        <w:rPr>
          <w:b w:val="1"/>
          <w:rtl w:val="0"/>
        </w:rPr>
        <w:t xml:space="preserve">Maëlle Couvrat1,2, É. Pubert3, F. Santos3 , N. Vanderesse3, D. Yang4, C. Nékoulnang5, O. Otero6, A. Souron3 </w:t>
      </w:r>
    </w:p>
    <w:p w:rsidR="00000000" w:rsidDel="00000000" w:rsidP="00000000" w:rsidRDefault="00000000" w:rsidRPr="00000000" w14:paraId="00000185">
      <w:pPr>
        <w:jc w:val="both"/>
        <w:rPr>
          <w:sz w:val="20"/>
          <w:szCs w:val="20"/>
        </w:rPr>
      </w:pPr>
      <w:r w:rsidDel="00000000" w:rsidR="00000000" w:rsidRPr="00000000">
        <w:rPr>
          <w:sz w:val="20"/>
          <w:szCs w:val="20"/>
          <w:rtl w:val="0"/>
        </w:rPr>
        <w:t xml:space="preserve">1CNRS, France, 2Laboratoire Méditerranéen de Préhistoire Europe Afrique (LAMPEA), Aix-en-Provence, France, 3De la Préhistoire à l’Actuel : Culture, Environnement et Anthropologie - PACEA UMR 5199, Bordeaux, France, 4University of Utah, USA, 5Centre National de la Recherche et du Développement, Chad,  6Laboratoire Paléontologie Evolution Paléoécosystèmes Paléoprimatologie Université de Poitiers (Palévoprim), Poitiers, France</w:t>
      </w:r>
    </w:p>
    <w:p w:rsidR="00000000" w:rsidDel="00000000" w:rsidP="00000000" w:rsidRDefault="00000000" w:rsidRPr="00000000" w14:paraId="00000186">
      <w:pPr>
        <w:jc w:val="both"/>
        <w:rPr/>
      </w:pPr>
      <w:r w:rsidDel="00000000" w:rsidR="00000000" w:rsidRPr="00000000">
        <w:rPr>
          <w:rtl w:val="0"/>
        </w:rPr>
      </w:r>
    </w:p>
    <w:p w:rsidR="00000000" w:rsidDel="00000000" w:rsidP="00000000" w:rsidRDefault="00000000" w:rsidRPr="00000000" w14:paraId="00000187">
      <w:pPr>
        <w:jc w:val="both"/>
        <w:rPr>
          <w:i w:val="1"/>
          <w:u w:val="single"/>
        </w:rPr>
      </w:pPr>
      <w:r w:rsidDel="00000000" w:rsidR="00000000" w:rsidRPr="00000000">
        <w:rPr>
          <w:i w:val="1"/>
          <w:u w:val="single"/>
          <w:rtl w:val="0"/>
        </w:rPr>
        <w:t xml:space="preserve">Reconstructing paleoseasonality is important to understand ecosystem dynamics in ancient times</w:t>
      </w:r>
    </w:p>
    <w:p w:rsidR="00000000" w:rsidDel="00000000" w:rsidP="00000000" w:rsidRDefault="00000000" w:rsidRPr="00000000" w14:paraId="00000188">
      <w:pPr>
        <w:jc w:val="both"/>
        <w:rPr/>
      </w:pPr>
      <w:r w:rsidDel="00000000" w:rsidR="00000000" w:rsidRPr="00000000">
        <w:rPr>
          <w:rtl w:val="0"/>
        </w:rPr>
        <w:t xml:space="preserve">Biogeochemical approaches allow to trace variation in the intensity and duration of seasonal dietary and climatic variations in given fossil specimens. Stable isotope ratios recorded in tooth enamel can be used to track isotopic ratio variations in the environment at the time of its formation. However, the long and multi-phased process of enamel mineralization causes a dampening of this variation records (Passey &amp; Cerling, 2002). A previously developed inverse model by Passey et al. (2005) proposes to re-amplify this intra-tooth record, and uses a constant growth rate, notably in ever-growing canines of Hippopotamus amphibius. In our study, dental histology and the use of stable isotopes of carbon and oxygen are compared on H. amphibius teeth (molar and canines). The histological study showed that enamel apposition phase is temporally and spatially irregular over time within the canines. We observe a variation in the average number of daily increments for H. amphibius canines (ca. 0.6-0.7 increment/day) compared to brachydont/hypsodont teeth of other ungulates (1 increment/day). The enamel extension rate varies with age and tooth type (canine/molar). The δ13C record is slightly different between canine and molar of the same individual. In conclusion, the documented intra-canine variability of enamel extension rate and other histological parameters (apposition angle, maturation length) reveals limitations of current inverse models, even when applied to continuously growing teeth. Consequently, calibration for the isotopic ratio is required for each species and tooth type, and with that aim enamel histology provides a relevant time frame.</w:t>
      </w:r>
    </w:p>
    <w:p w:rsidR="00000000" w:rsidDel="00000000" w:rsidP="00000000" w:rsidRDefault="00000000" w:rsidRPr="00000000" w14:paraId="00000189">
      <w:pPr>
        <w:jc w:val="both"/>
        <w:rPr>
          <w:i w:val="1"/>
        </w:rPr>
      </w:pPr>
      <w:r w:rsidDel="00000000" w:rsidR="00000000" w:rsidRPr="00000000">
        <w:rPr>
          <w:i w:val="1"/>
          <w:rtl w:val="0"/>
        </w:rPr>
        <w:t xml:space="preserve">Keywords: Histology, isotopes, Hippopotamus amphibius, paleoseasonality, inverse model.</w:t>
      </w:r>
    </w:p>
    <w:p w:rsidR="00000000" w:rsidDel="00000000" w:rsidP="00000000" w:rsidRDefault="00000000" w:rsidRPr="00000000" w14:paraId="0000018A">
      <w:pPr>
        <w:jc w:val="both"/>
        <w:rPr/>
      </w:pPr>
      <w:r w:rsidDel="00000000" w:rsidR="00000000" w:rsidRPr="00000000">
        <w:rPr>
          <w:rtl w:val="0"/>
        </w:rPr>
      </w:r>
    </w:p>
    <w:p w:rsidR="00000000" w:rsidDel="00000000" w:rsidP="00000000" w:rsidRDefault="00000000" w:rsidRPr="00000000" w14:paraId="0000018B">
      <w:pPr>
        <w:jc w:val="both"/>
        <w:rPr/>
      </w:pPr>
      <w:r w:rsidDel="00000000" w:rsidR="00000000" w:rsidRPr="00000000">
        <w:rPr>
          <w:rtl w:val="0"/>
        </w:rPr>
      </w:r>
    </w:p>
    <w:p w:rsidR="00000000" w:rsidDel="00000000" w:rsidP="00000000" w:rsidRDefault="00000000" w:rsidRPr="00000000" w14:paraId="0000018C">
      <w:pPr>
        <w:jc w:val="both"/>
        <w:rPr>
          <w:b w:val="1"/>
          <w:sz w:val="32"/>
          <w:szCs w:val="32"/>
        </w:rPr>
      </w:pPr>
      <w:r w:rsidDel="00000000" w:rsidR="00000000" w:rsidRPr="00000000">
        <w:rPr>
          <w:b w:val="1"/>
          <w:sz w:val="32"/>
          <w:szCs w:val="32"/>
          <w:rtl w:val="0"/>
        </w:rPr>
        <w:t xml:space="preserve">Posters</w:t>
      </w:r>
    </w:p>
    <w:p w:rsidR="00000000" w:rsidDel="00000000" w:rsidP="00000000" w:rsidRDefault="00000000" w:rsidRPr="00000000" w14:paraId="0000018D">
      <w:pPr>
        <w:jc w:val="both"/>
        <w:rPr/>
      </w:pPr>
      <w:r w:rsidDel="00000000" w:rsidR="00000000" w:rsidRPr="00000000">
        <w:rPr>
          <w:rtl w:val="0"/>
        </w:rPr>
      </w:r>
    </w:p>
    <w:p w:rsidR="00000000" w:rsidDel="00000000" w:rsidP="00000000" w:rsidRDefault="00000000" w:rsidRPr="00000000" w14:paraId="0000018E">
      <w:pPr>
        <w:jc w:val="both"/>
        <w:rPr>
          <w:b w:val="1"/>
        </w:rPr>
      </w:pPr>
      <w:r w:rsidDel="00000000" w:rsidR="00000000" w:rsidRPr="00000000">
        <w:rPr>
          <w:b w:val="1"/>
          <w:rtl w:val="0"/>
        </w:rPr>
        <w:t xml:space="preserve">Gaia Mortier1, Stuart Black1, Alejandra Perotti1, Andrew Kitchener2 </w:t>
      </w:r>
    </w:p>
    <w:p w:rsidR="00000000" w:rsidDel="00000000" w:rsidP="00000000" w:rsidRDefault="00000000" w:rsidRPr="00000000" w14:paraId="0000018F">
      <w:pPr>
        <w:jc w:val="both"/>
        <w:rPr>
          <w:sz w:val="20"/>
          <w:szCs w:val="20"/>
        </w:rPr>
      </w:pPr>
      <w:r w:rsidDel="00000000" w:rsidR="00000000" w:rsidRPr="00000000">
        <w:rPr>
          <w:sz w:val="20"/>
          <w:szCs w:val="20"/>
          <w:rtl w:val="0"/>
        </w:rPr>
        <w:t xml:space="preserve">1University of Reading, United Kingdom</w:t>
      </w:r>
    </w:p>
    <w:p w:rsidR="00000000" w:rsidDel="00000000" w:rsidP="00000000" w:rsidRDefault="00000000" w:rsidRPr="00000000" w14:paraId="00000190">
      <w:pPr>
        <w:jc w:val="both"/>
        <w:rPr>
          <w:sz w:val="20"/>
          <w:szCs w:val="20"/>
        </w:rPr>
      </w:pPr>
      <w:r w:rsidDel="00000000" w:rsidR="00000000" w:rsidRPr="00000000">
        <w:rPr>
          <w:sz w:val="20"/>
          <w:szCs w:val="20"/>
          <w:rtl w:val="0"/>
        </w:rPr>
        <w:t xml:space="preserve">2National Museums Scotland, United Kingdom</w:t>
      </w:r>
    </w:p>
    <w:p w:rsidR="00000000" w:rsidDel="00000000" w:rsidP="00000000" w:rsidRDefault="00000000" w:rsidRPr="00000000" w14:paraId="00000191">
      <w:pPr>
        <w:jc w:val="both"/>
        <w:rPr>
          <w:b w:val="1"/>
        </w:rPr>
      </w:pPr>
      <w:r w:rsidDel="00000000" w:rsidR="00000000" w:rsidRPr="00000000">
        <w:rPr>
          <w:rtl w:val="0"/>
        </w:rPr>
      </w:r>
    </w:p>
    <w:p w:rsidR="00000000" w:rsidDel="00000000" w:rsidP="00000000" w:rsidRDefault="00000000" w:rsidRPr="00000000" w14:paraId="00000192">
      <w:pPr>
        <w:jc w:val="both"/>
        <w:rPr>
          <w:i w:val="1"/>
          <w:u w:val="single"/>
        </w:rPr>
      </w:pPr>
      <w:r w:rsidDel="00000000" w:rsidR="00000000" w:rsidRPr="00000000">
        <w:rPr>
          <w:i w:val="1"/>
          <w:u w:val="single"/>
          <w:rtl w:val="0"/>
        </w:rPr>
        <w:t xml:space="preserve">What makes them tick: ancient ectoparasites as archaeological proxy indicators using stable isotopes</w:t>
      </w:r>
    </w:p>
    <w:p w:rsidR="00000000" w:rsidDel="00000000" w:rsidP="00000000" w:rsidRDefault="00000000" w:rsidRPr="00000000" w14:paraId="00000193">
      <w:pPr>
        <w:jc w:val="both"/>
        <w:rPr/>
      </w:pPr>
      <w:r w:rsidDel="00000000" w:rsidR="00000000" w:rsidRPr="00000000">
        <w:rPr>
          <w:rtl w:val="0"/>
        </w:rPr>
        <w:t xml:space="preserve">Ancient ectoparasites (e.g. fleas, lice, and ticks) are commonly used to reconstruct past hygiene practices, human migration, diet, cultural practices, and environments. Recent studies have indicated they are furthermore capable of preserving the biomarker fingerprints of their hosts, which, when extracted and analysed, could provide unique information unobtainable through alternative methods involving bone, teeth, or hair. However, studies featuring the biochemical analysis of ectoparasites as proxy indicators are extremely limited within the field of archaeology. In this preliminary study, a small number of ticks (Ixodes hexagonus/ricinus) were analysed for δ13C and δ15N (‰), and compared to the values of the polecat (Mustela putorius) hosts they were collected from. The species-specific trophic enrichment factors (TEF) and transformation factors (from whiskers to blood) will be established, in order for these results to shed light on how well the polecat’s dietary signals were preserved within their respective ticks. The results obtained from this help establish a working methodology, in order to analyse damaged historical and ancient samples more efficiently. Ectoparasites could provide an opportunity to explore alternatives to commonly used archaeological sampling techniques requiring the destruction of hair, bone or teeth in human and animal remains. This is especially critical in contexts where remains are of great cultural value and/or are particularly susceptible to damage. This is an exciting, novel approach to SIA sampling, but additional research is necessary to fully explore the potential of ectoparasites as tools for learning about the past of their hosts.</w:t>
      </w:r>
    </w:p>
    <w:p w:rsidR="00000000" w:rsidDel="00000000" w:rsidP="00000000" w:rsidRDefault="00000000" w:rsidRPr="00000000" w14:paraId="00000194">
      <w:pPr>
        <w:jc w:val="both"/>
        <w:rPr>
          <w:i w:val="1"/>
        </w:rPr>
      </w:pPr>
      <w:r w:rsidDel="00000000" w:rsidR="00000000" w:rsidRPr="00000000">
        <w:rPr>
          <w:i w:val="1"/>
          <w:rtl w:val="0"/>
        </w:rPr>
        <w:t xml:space="preserve">Keywords: Ectoparasites, blood, lice, nits, fleas, ticks, archaeology, biochemical analysis, stable isotopes, diet, reconstruction, life history, proxy indicators.</w:t>
      </w:r>
    </w:p>
    <w:p w:rsidR="00000000" w:rsidDel="00000000" w:rsidP="00000000" w:rsidRDefault="00000000" w:rsidRPr="00000000" w14:paraId="00000195">
      <w:pPr>
        <w:jc w:val="both"/>
        <w:rPr/>
      </w:pPr>
      <w:r w:rsidDel="00000000" w:rsidR="00000000" w:rsidRPr="00000000">
        <w:rPr>
          <w:rtl w:val="0"/>
        </w:rPr>
      </w:r>
    </w:p>
    <w:p w:rsidR="00000000" w:rsidDel="00000000" w:rsidP="00000000" w:rsidRDefault="00000000" w:rsidRPr="00000000" w14:paraId="00000196">
      <w:pPr>
        <w:jc w:val="both"/>
        <w:rPr/>
      </w:pPr>
      <w:r w:rsidDel="00000000" w:rsidR="00000000" w:rsidRPr="00000000">
        <w:rPr>
          <w:rtl w:val="0"/>
        </w:rPr>
      </w:r>
    </w:p>
    <w:p w:rsidR="00000000" w:rsidDel="00000000" w:rsidP="00000000" w:rsidRDefault="00000000" w:rsidRPr="00000000" w14:paraId="00000197">
      <w:pPr>
        <w:jc w:val="both"/>
        <w:rPr>
          <w:b w:val="1"/>
        </w:rPr>
      </w:pPr>
      <w:r w:rsidDel="00000000" w:rsidR="00000000" w:rsidRPr="00000000">
        <w:rPr>
          <w:b w:val="1"/>
          <w:rtl w:val="0"/>
        </w:rPr>
        <w:t xml:space="preserve">Celia Díez-Canseco, Mònica Aguilera, Carlos Tornero</w:t>
      </w:r>
    </w:p>
    <w:p w:rsidR="00000000" w:rsidDel="00000000" w:rsidP="00000000" w:rsidRDefault="00000000" w:rsidRPr="00000000" w14:paraId="00000198">
      <w:pPr>
        <w:jc w:val="both"/>
        <w:rPr>
          <w:sz w:val="20"/>
          <w:szCs w:val="20"/>
        </w:rPr>
      </w:pPr>
      <w:r w:rsidDel="00000000" w:rsidR="00000000" w:rsidRPr="00000000">
        <w:rPr>
          <w:sz w:val="20"/>
          <w:szCs w:val="20"/>
          <w:rtl w:val="0"/>
        </w:rPr>
        <w:t xml:space="preserve">Departament d'Història i Història de l'Art, Universitat Rovira i Virgili, Tarragona, Spain; </w:t>
      </w:r>
    </w:p>
    <w:p w:rsidR="00000000" w:rsidDel="00000000" w:rsidP="00000000" w:rsidRDefault="00000000" w:rsidRPr="00000000" w14:paraId="00000199">
      <w:pPr>
        <w:jc w:val="both"/>
        <w:rPr>
          <w:sz w:val="20"/>
          <w:szCs w:val="20"/>
          <w:highlight w:val="yellow"/>
        </w:rPr>
      </w:pPr>
      <w:r w:rsidDel="00000000" w:rsidR="00000000" w:rsidRPr="00000000">
        <w:rPr>
          <w:sz w:val="20"/>
          <w:szCs w:val="20"/>
          <w:rtl w:val="0"/>
        </w:rPr>
        <w:t xml:space="preserve">Institut Català de Paleoecologia Humana i Evolució Social (IPHES-CERCA), Tarragona, Spain</w:t>
      </w:r>
      <w:r w:rsidDel="00000000" w:rsidR="00000000" w:rsidRPr="00000000">
        <w:rPr>
          <w:rtl w:val="0"/>
        </w:rPr>
      </w:r>
    </w:p>
    <w:p w:rsidR="00000000" w:rsidDel="00000000" w:rsidP="00000000" w:rsidRDefault="00000000" w:rsidRPr="00000000" w14:paraId="0000019A">
      <w:pPr>
        <w:jc w:val="both"/>
        <w:rPr>
          <w:i w:val="1"/>
          <w:highlight w:val="yellow"/>
        </w:rPr>
      </w:pPr>
      <w:r w:rsidDel="00000000" w:rsidR="00000000" w:rsidRPr="00000000">
        <w:rPr>
          <w:rtl w:val="0"/>
        </w:rPr>
      </w:r>
    </w:p>
    <w:p w:rsidR="00000000" w:rsidDel="00000000" w:rsidP="00000000" w:rsidRDefault="00000000" w:rsidRPr="00000000" w14:paraId="0000019B">
      <w:pPr>
        <w:jc w:val="both"/>
        <w:rPr>
          <w:i w:val="1"/>
          <w:u w:val="single"/>
        </w:rPr>
      </w:pPr>
      <w:r w:rsidDel="00000000" w:rsidR="00000000" w:rsidRPr="00000000">
        <w:rPr>
          <w:i w:val="1"/>
          <w:u w:val="single"/>
          <w:rtl w:val="0"/>
        </w:rPr>
        <w:t xml:space="preserve">Broadening horizons in intra-tooth isotopic analysis: a new dentine sampling strategy for caprine species</w:t>
      </w:r>
    </w:p>
    <w:p w:rsidR="00000000" w:rsidDel="00000000" w:rsidP="00000000" w:rsidRDefault="00000000" w:rsidRPr="00000000" w14:paraId="0000019C">
      <w:pPr>
        <w:jc w:val="both"/>
        <w:rPr/>
      </w:pPr>
      <w:r w:rsidDel="00000000" w:rsidR="00000000" w:rsidRPr="00000000">
        <w:rPr>
          <w:rtl w:val="0"/>
        </w:rPr>
        <w:t xml:space="preserve">Sequential, or intra-tooth, stable isotope analyses are nowadays widely implemented in archaeological teeth of hypsodont species. Incrementally developed dental tissues as enamel or dentine, allow reconstructing life conditions with a high temporal resolution. While these</w:t>
      </w:r>
    </w:p>
    <w:p w:rsidR="00000000" w:rsidDel="00000000" w:rsidP="00000000" w:rsidRDefault="00000000" w:rsidRPr="00000000" w14:paraId="0000019D">
      <w:pPr>
        <w:jc w:val="both"/>
        <w:rPr/>
      </w:pPr>
      <w:r w:rsidDel="00000000" w:rsidR="00000000" w:rsidRPr="00000000">
        <w:rPr>
          <w:rtl w:val="0"/>
        </w:rPr>
        <w:t xml:space="preserve">analyses have been mainly applied to enamel, intra-tooth carbon and nitrogen isotopic analyses of dentine-collagen have been poorly developed in zooarchaeological studies. In high-crowned teeth, dentine grows oblique to the vertical axis of the tooth, and some issues emerge when attempting to isolate different growth increments during sampling. As a consequence, isotopic sequences obtained with traditional approaches, do not represent accurately the isotopic variations recorded in dentine during the period of dental development. In this study, we implement a new dentine sequential sampling strategy for δ15Ncollagen and δ13Ccollagen measurements in modern sheep specimens. The sheep come from an experimental study where carbon and nitrogen isotopic signatures of consumed plants are known. Sampling effects are widely attenuated following our approach, and the intra-tooth isotopic variation obtained is in accordance with diet changes induced to sheep during the experimental period. This proposal resolves the main issues concerning dentine admixture, offering new possibilities for sequential δ15N and δ13C analysis in caprines or other bovid species. We highlight the potential of this method to broaden current knowledge about past husbandry practices, especially when relating animal diet or reproduction. </w:t>
      </w:r>
    </w:p>
    <w:p w:rsidR="00000000" w:rsidDel="00000000" w:rsidP="00000000" w:rsidRDefault="00000000" w:rsidRPr="00000000" w14:paraId="0000019E">
      <w:pPr>
        <w:jc w:val="both"/>
        <w:rPr>
          <w:i w:val="1"/>
        </w:rPr>
      </w:pPr>
      <w:r w:rsidDel="00000000" w:rsidR="00000000" w:rsidRPr="00000000">
        <w:rPr>
          <w:i w:val="1"/>
          <w:rtl w:val="0"/>
        </w:rPr>
        <w:t xml:space="preserve">Keywords: </w:t>
      </w:r>
    </w:p>
    <w:p w:rsidR="00000000" w:rsidDel="00000000" w:rsidP="00000000" w:rsidRDefault="00000000" w:rsidRPr="00000000" w14:paraId="0000019F">
      <w:pPr>
        <w:jc w:val="both"/>
        <w:rPr>
          <w:i w:val="1"/>
        </w:rPr>
      </w:pPr>
      <w:r w:rsidDel="00000000" w:rsidR="00000000" w:rsidRPr="00000000">
        <w:rPr>
          <w:rtl w:val="0"/>
        </w:rPr>
      </w:r>
    </w:p>
    <w:p w:rsidR="00000000" w:rsidDel="00000000" w:rsidP="00000000" w:rsidRDefault="00000000" w:rsidRPr="00000000" w14:paraId="000001A0">
      <w:pPr>
        <w:jc w:val="both"/>
        <w:rPr>
          <w:i w:val="1"/>
        </w:rPr>
      </w:pPr>
      <w:r w:rsidDel="00000000" w:rsidR="00000000" w:rsidRPr="00000000">
        <w:rPr>
          <w:rtl w:val="0"/>
        </w:rPr>
      </w:r>
    </w:p>
    <w:p w:rsidR="00000000" w:rsidDel="00000000" w:rsidP="00000000" w:rsidRDefault="00000000" w:rsidRPr="00000000" w14:paraId="000001A1">
      <w:pPr>
        <w:jc w:val="both"/>
        <w:rPr>
          <w:b w:val="1"/>
        </w:rPr>
      </w:pPr>
      <w:r w:rsidDel="00000000" w:rsidR="00000000" w:rsidRPr="00000000">
        <w:rPr>
          <w:rtl w:val="0"/>
        </w:rPr>
      </w:r>
    </w:p>
    <w:p w:rsidR="00000000" w:rsidDel="00000000" w:rsidP="00000000" w:rsidRDefault="00000000" w:rsidRPr="00000000" w14:paraId="000001A2">
      <w:pPr>
        <w:jc w:val="both"/>
        <w:rPr>
          <w:i w:val="1"/>
        </w:rPr>
      </w:pPr>
      <w:r w:rsidDel="00000000" w:rsidR="00000000" w:rsidRPr="00000000">
        <w:rPr>
          <w:b w:val="1"/>
          <w:rtl w:val="0"/>
        </w:rPr>
        <w:t xml:space="preserve">Jesse Wolfhagen </w:t>
      </w:r>
      <w:r w:rsidDel="00000000" w:rsidR="00000000" w:rsidRPr="00000000">
        <w:rPr>
          <w:rtl w:val="0"/>
        </w:rPr>
      </w:r>
    </w:p>
    <w:p w:rsidR="00000000" w:rsidDel="00000000" w:rsidP="00000000" w:rsidRDefault="00000000" w:rsidRPr="00000000" w14:paraId="000001A3">
      <w:pPr>
        <w:jc w:val="both"/>
        <w:rPr>
          <w:sz w:val="20"/>
          <w:szCs w:val="20"/>
        </w:rPr>
      </w:pPr>
      <w:r w:rsidDel="00000000" w:rsidR="00000000" w:rsidRPr="00000000">
        <w:rPr>
          <w:sz w:val="20"/>
          <w:szCs w:val="20"/>
          <w:rtl w:val="0"/>
        </w:rPr>
        <w:t xml:space="preserve">Purdue University, USA</w:t>
      </w:r>
    </w:p>
    <w:p w:rsidR="00000000" w:rsidDel="00000000" w:rsidP="00000000" w:rsidRDefault="00000000" w:rsidRPr="00000000" w14:paraId="000001A4">
      <w:pPr>
        <w:jc w:val="both"/>
        <w:rPr/>
      </w:pPr>
      <w:r w:rsidDel="00000000" w:rsidR="00000000" w:rsidRPr="00000000">
        <w:rPr>
          <w:rtl w:val="0"/>
        </w:rPr>
      </w:r>
    </w:p>
    <w:p w:rsidR="00000000" w:rsidDel="00000000" w:rsidP="00000000" w:rsidRDefault="00000000" w:rsidRPr="00000000" w14:paraId="000001A5">
      <w:pPr>
        <w:jc w:val="both"/>
        <w:rPr>
          <w:u w:val="single"/>
        </w:rPr>
      </w:pPr>
      <w:r w:rsidDel="00000000" w:rsidR="00000000" w:rsidRPr="00000000">
        <w:rPr>
          <w:i w:val="1"/>
          <w:u w:val="single"/>
          <w:rtl w:val="0"/>
        </w:rPr>
        <w:t xml:space="preserve">Examining Variability Seasonal Behaviors with Bayesian Cyclical δ18O Regression Models</w:t>
      </w:r>
      <w:r w:rsidDel="00000000" w:rsidR="00000000" w:rsidRPr="00000000">
        <w:rPr>
          <w:u w:val="single"/>
          <w:rtl w:val="0"/>
        </w:rPr>
        <w:t xml:space="preserve"> </w:t>
      </w:r>
    </w:p>
    <w:p w:rsidR="00000000" w:rsidDel="00000000" w:rsidP="00000000" w:rsidRDefault="00000000" w:rsidRPr="00000000" w14:paraId="000001A6">
      <w:pPr>
        <w:jc w:val="both"/>
        <w:rPr/>
      </w:pPr>
      <w:r w:rsidDel="00000000" w:rsidR="00000000" w:rsidRPr="00000000">
        <w:rPr>
          <w:rtl w:val="0"/>
        </w:rPr>
        <w:t xml:space="preserve">Exploring variability in animal birth seasonality reveals important structural aspects of past human-animal interactions. Isotopic profiles of stable oxygen isotopic values (δ18O) from animal tooth enamel can provide in-depth information about past environments that animals inhabited while their teeth mineralized. Cyclical regression models allow researchers to fit a specimen’s isotopic profile to a particular sinusoidal regression curve, using parameter values to estimate relevant aspects of past environments and animal behavior like birth seasonality and seasonal environmental variation. By analyzing multiple teeth from an assemblage, researchers can compare parameter values across specimens to understand the diversity of past environments animals within a single assemblage encountered and potential differences in herder decision making. However, standard methods to fit cyclical regression models to isotopic profiles rely on densely sampled specimens, limiting the number of specimens that could be analyzed within a particular budget and preventing the model from being applied to fragmented or heavily worn teeth. Further, these models do not provide any way to summarize assemblage-level results that accounts for variation across different specimens. I present a Bayesian multilevel model to fit cyclical regression curves to enamel δ18O data that can fit reasonable sinusoidal curves to sparsely or partially sampled specimens. Moreover, the model’s structure creates averaged estimates of the cyclical regression parameters, which can be used to summarize assemblages and compare values across assemblages. I test the model’s effectiveness by simulating sparsely and partially sampled datasets from a set of densely sampled specimens, showing that the model can effectively estimate the isotopic profiles (and missing samples) for the sparse datasets. This Bayesian model lets researchers investigate assemblage-level trends, creating new opportunities to understand how people managed herds in the past.</w:t>
      </w:r>
    </w:p>
    <w:p w:rsidR="00000000" w:rsidDel="00000000" w:rsidP="00000000" w:rsidRDefault="00000000" w:rsidRPr="00000000" w14:paraId="000001A7">
      <w:pPr>
        <w:jc w:val="both"/>
        <w:rPr>
          <w:i w:val="1"/>
        </w:rPr>
      </w:pPr>
      <w:r w:rsidDel="00000000" w:rsidR="00000000" w:rsidRPr="00000000">
        <w:rPr>
          <w:i w:val="1"/>
          <w:rtl w:val="0"/>
        </w:rPr>
        <w:t xml:space="preserve">Keywords: Birth Seasonality, enamel δ18O, Bayesian Statistics, herd management.</w:t>
      </w:r>
    </w:p>
    <w:p w:rsidR="00000000" w:rsidDel="00000000" w:rsidP="00000000" w:rsidRDefault="00000000" w:rsidRPr="00000000" w14:paraId="000001A8">
      <w:pPr>
        <w:jc w:val="both"/>
        <w:rPr/>
      </w:pPr>
      <w:r w:rsidDel="00000000" w:rsidR="00000000" w:rsidRPr="00000000">
        <w:rPr>
          <w:rtl w:val="0"/>
        </w:rPr>
      </w:r>
    </w:p>
    <w:p w:rsidR="00000000" w:rsidDel="00000000" w:rsidP="00000000" w:rsidRDefault="00000000" w:rsidRPr="00000000" w14:paraId="000001A9">
      <w:pPr>
        <w:jc w:val="both"/>
        <w:rPr>
          <w:b w:val="1"/>
          <w:sz w:val="32"/>
          <w:szCs w:val="32"/>
        </w:rPr>
      </w:pPr>
      <w:r w:rsidDel="00000000" w:rsidR="00000000" w:rsidRPr="00000000">
        <w:rPr>
          <w:rtl w:val="0"/>
        </w:rPr>
      </w:r>
    </w:p>
    <w:p w:rsidR="00000000" w:rsidDel="00000000" w:rsidP="00000000" w:rsidRDefault="00000000" w:rsidRPr="00000000" w14:paraId="000001AA">
      <w:pPr>
        <w:jc w:val="both"/>
        <w:rPr>
          <w:b w:val="1"/>
          <w:sz w:val="32"/>
          <w:szCs w:val="32"/>
        </w:rPr>
      </w:pPr>
      <w:r w:rsidDel="00000000" w:rsidR="00000000" w:rsidRPr="00000000">
        <w:rPr>
          <w:b w:val="1"/>
          <w:sz w:val="32"/>
          <w:szCs w:val="32"/>
          <w:rtl w:val="0"/>
        </w:rPr>
        <w:t xml:space="preserve">Session: Reconstructing environments</w:t>
      </w:r>
    </w:p>
    <w:p w:rsidR="00000000" w:rsidDel="00000000" w:rsidP="00000000" w:rsidRDefault="00000000" w:rsidRPr="00000000" w14:paraId="000001AB">
      <w:pPr>
        <w:jc w:val="both"/>
        <w:rPr>
          <w:b w:val="1"/>
        </w:rPr>
      </w:pPr>
      <w:r w:rsidDel="00000000" w:rsidR="00000000" w:rsidRPr="00000000">
        <w:rPr>
          <w:rtl w:val="0"/>
        </w:rPr>
      </w:r>
    </w:p>
    <w:p w:rsidR="00000000" w:rsidDel="00000000" w:rsidP="00000000" w:rsidRDefault="00000000" w:rsidRPr="00000000" w14:paraId="000001AC">
      <w:pPr>
        <w:jc w:val="both"/>
        <w:rPr>
          <w:b w:val="1"/>
          <w:sz w:val="32"/>
          <w:szCs w:val="32"/>
        </w:rPr>
      </w:pPr>
      <w:r w:rsidDel="00000000" w:rsidR="00000000" w:rsidRPr="00000000">
        <w:rPr>
          <w:b w:val="1"/>
          <w:sz w:val="32"/>
          <w:szCs w:val="32"/>
          <w:rtl w:val="0"/>
        </w:rPr>
        <w:t xml:space="preserve">Oral presentations</w:t>
      </w:r>
    </w:p>
    <w:p w:rsidR="00000000" w:rsidDel="00000000" w:rsidP="00000000" w:rsidRDefault="00000000" w:rsidRPr="00000000" w14:paraId="000001AD">
      <w:pPr>
        <w:jc w:val="both"/>
        <w:rPr>
          <w:b w:val="1"/>
        </w:rPr>
      </w:pPr>
      <w:r w:rsidDel="00000000" w:rsidR="00000000" w:rsidRPr="00000000">
        <w:rPr>
          <w:rtl w:val="0"/>
        </w:rPr>
      </w:r>
    </w:p>
    <w:p w:rsidR="00000000" w:rsidDel="00000000" w:rsidP="00000000" w:rsidRDefault="00000000" w:rsidRPr="00000000" w14:paraId="000001AE">
      <w:pPr>
        <w:jc w:val="both"/>
        <w:rPr>
          <w:strike w:val="1"/>
        </w:rPr>
      </w:pPr>
      <w:r w:rsidDel="00000000" w:rsidR="00000000" w:rsidRPr="00000000">
        <w:rPr>
          <w:rtl w:val="0"/>
        </w:rPr>
      </w:r>
    </w:p>
    <w:p w:rsidR="00000000" w:rsidDel="00000000" w:rsidP="00000000" w:rsidRDefault="00000000" w:rsidRPr="00000000" w14:paraId="000001AF">
      <w:pPr>
        <w:jc w:val="both"/>
        <w:rPr>
          <w:b w:val="1"/>
        </w:rPr>
      </w:pPr>
      <w:r w:rsidDel="00000000" w:rsidR="00000000" w:rsidRPr="00000000">
        <w:rPr>
          <w:b w:val="1"/>
          <w:rtl w:val="0"/>
        </w:rPr>
        <w:t xml:space="preserve">Sophia Politt, Helena Pribliczki, Nils Andersen, David Morris, Cheryl Makarewicz, Michaela Ecker</w:t>
      </w:r>
    </w:p>
    <w:p w:rsidR="00000000" w:rsidDel="00000000" w:rsidP="00000000" w:rsidRDefault="00000000" w:rsidRPr="00000000" w14:paraId="000001B0">
      <w:pPr>
        <w:jc w:val="both"/>
        <w:rPr>
          <w:color w:val="000000"/>
          <w:sz w:val="20"/>
          <w:szCs w:val="20"/>
        </w:rPr>
      </w:pPr>
      <w:r w:rsidDel="00000000" w:rsidR="00000000" w:rsidRPr="00000000">
        <w:rPr>
          <w:color w:val="000000"/>
          <w:sz w:val="20"/>
          <w:szCs w:val="20"/>
          <w:rtl w:val="0"/>
        </w:rPr>
        <w:t xml:space="preserve">Christian-Albrechts-Universität zu Kiel</w:t>
      </w:r>
    </w:p>
    <w:p w:rsidR="00000000" w:rsidDel="00000000" w:rsidP="00000000" w:rsidRDefault="00000000" w:rsidRPr="00000000" w14:paraId="000001B1">
      <w:pPr>
        <w:jc w:val="both"/>
        <w:rPr>
          <w:i w:val="1"/>
          <w:color w:val="000000"/>
        </w:rPr>
      </w:pPr>
      <w:r w:rsidDel="00000000" w:rsidR="00000000" w:rsidRPr="00000000">
        <w:rPr>
          <w:rtl w:val="0"/>
        </w:rPr>
      </w:r>
    </w:p>
    <w:p w:rsidR="00000000" w:rsidDel="00000000" w:rsidP="00000000" w:rsidRDefault="00000000" w:rsidRPr="00000000" w14:paraId="000001B2">
      <w:pPr>
        <w:jc w:val="both"/>
        <w:rPr>
          <w:i w:val="1"/>
          <w:color w:val="000000"/>
          <w:u w:val="single"/>
        </w:rPr>
      </w:pPr>
      <w:r w:rsidDel="00000000" w:rsidR="00000000" w:rsidRPr="00000000">
        <w:rPr>
          <w:i w:val="1"/>
          <w:color w:val="000000"/>
          <w:u w:val="single"/>
          <w:rtl w:val="0"/>
        </w:rPr>
        <w:t xml:space="preserve">Combined archaeozoological and isotopic analysis of faunal remains from Pniel 6, South Africa </w:t>
      </w:r>
    </w:p>
    <w:p w:rsidR="00000000" w:rsidDel="00000000" w:rsidP="00000000" w:rsidRDefault="00000000" w:rsidRPr="00000000" w14:paraId="000001B3">
      <w:pPr>
        <w:jc w:val="both"/>
        <w:rPr>
          <w:color w:val="000000"/>
        </w:rPr>
      </w:pPr>
      <w:r w:rsidDel="00000000" w:rsidR="00000000" w:rsidRPr="00000000">
        <w:rPr>
          <w:color w:val="000000"/>
          <w:rtl w:val="0"/>
        </w:rPr>
        <w:t xml:space="preserve">With the transition from Early Stone Age (ESA) to Middle Stone Age (MSA) in South Africa, Homo sapiens first appeared in the region. If and how shifts in resource distribution influenced hominin evolution at regional scales during this time is unknown. To investigate this question from an archaeozoological perspective we examined the Pniel 6 faunal remains from Beaumont’s excavations in the 1980s and 1990s and our excavations 2017-2019. Pniel 6 is located near Kimberley, Northern Cape, South Africa on the Vaal River. Intra-crystalline protein degradation analysis on enamel indicates an age older than 151ka; excavated lithics fall into the transitional stage from ESA to MSA. To reconstruct the environment, the faunal remains were classified using the Florisbad comparative collection with modern and extinct animals, and a full archaeozoological and taphonomical analysis was conducted. Teeth were sampled for stable oxygen and carbon isotopes and measured at Kiel University. The samples were evaluated for diagenesis by Fourier-transform infrared spectroscopy (FTIR) and repeat stable isotope measurements. Grazing species dominate the assemblage, mostly Alcelaphines and Equids. In stable isotope results, the diet of most specimens at Pniel 6 consisted of C4-plants. Water-dependent species like Hippopotamus amphibius (hippo) and Kobus leche (lechwe) prove the existence of large water bodies in this region. The fauna at Pniel 6 includes typical species from the Florisian Land Mammal Age. Extinct species such as Megalotragus priscus (giant alcelaphine) and Antidorcas bondi (Bond’s springbok) were part of a unique grazing succession pattern. Their disappearance and the general shift of species compared to today reflects environmental change in the interior of South Africa. We conclude that open C4 grassland with large water bodies dominated the landscape during the occupation of Pniel 6, which contrasts the modern Savanna biome.</w:t>
      </w:r>
    </w:p>
    <w:p w:rsidR="00000000" w:rsidDel="00000000" w:rsidP="00000000" w:rsidRDefault="00000000" w:rsidRPr="00000000" w14:paraId="000001B4">
      <w:pPr>
        <w:jc w:val="both"/>
        <w:rPr>
          <w:i w:val="1"/>
          <w:color w:val="000000"/>
        </w:rPr>
      </w:pPr>
      <w:r w:rsidDel="00000000" w:rsidR="00000000" w:rsidRPr="00000000">
        <w:rPr>
          <w:i w:val="1"/>
          <w:color w:val="000000"/>
          <w:rtl w:val="0"/>
        </w:rPr>
        <w:t xml:space="preserve">Keywords: South Africa, Environmental reconstruction, carbon isotopes, oxygen isotopes, FTIR, enamel.</w:t>
      </w:r>
    </w:p>
    <w:p w:rsidR="00000000" w:rsidDel="00000000" w:rsidP="00000000" w:rsidRDefault="00000000" w:rsidRPr="00000000" w14:paraId="000001B5">
      <w:pPr>
        <w:jc w:val="both"/>
        <w:rPr/>
      </w:pPr>
      <w:r w:rsidDel="00000000" w:rsidR="00000000" w:rsidRPr="00000000">
        <w:rPr>
          <w:rtl w:val="0"/>
        </w:rPr>
      </w:r>
    </w:p>
    <w:p w:rsidR="00000000" w:rsidDel="00000000" w:rsidP="00000000" w:rsidRDefault="00000000" w:rsidRPr="00000000" w14:paraId="000001B6">
      <w:pPr>
        <w:spacing w:line="240" w:lineRule="auto"/>
        <w:rPr/>
      </w:pPr>
      <w:r w:rsidDel="00000000" w:rsidR="00000000" w:rsidRPr="00000000">
        <w:rPr>
          <w:rtl w:val="0"/>
        </w:rPr>
      </w:r>
    </w:p>
    <w:p w:rsidR="00000000" w:rsidDel="00000000" w:rsidP="00000000" w:rsidRDefault="00000000" w:rsidRPr="00000000" w14:paraId="000001B7">
      <w:pPr>
        <w:jc w:val="both"/>
        <w:rPr>
          <w:b w:val="1"/>
          <w:color w:val="000000"/>
        </w:rPr>
      </w:pPr>
      <w:r w:rsidDel="00000000" w:rsidR="00000000" w:rsidRPr="00000000">
        <w:rPr>
          <w:b w:val="1"/>
          <w:rtl w:val="0"/>
        </w:rPr>
        <w:t xml:space="preserve">Maciej T. Krajcarz1, </w:t>
      </w:r>
      <w:r w:rsidDel="00000000" w:rsidR="00000000" w:rsidRPr="00000000">
        <w:rPr>
          <w:b w:val="1"/>
          <w:color w:val="000000"/>
          <w:rtl w:val="0"/>
        </w:rPr>
        <w:t xml:space="preserve">Magdalena Krajcarz2,3, Daniel Makowiecki2, Wim Van Neer4,5</w:t>
      </w:r>
    </w:p>
    <w:p w:rsidR="00000000" w:rsidDel="00000000" w:rsidP="00000000" w:rsidRDefault="00000000" w:rsidRPr="00000000" w14:paraId="000001B8">
      <w:pPr>
        <w:jc w:val="both"/>
        <w:rPr>
          <w:color w:val="000000"/>
          <w:sz w:val="20"/>
          <w:szCs w:val="20"/>
        </w:rPr>
      </w:pPr>
      <w:r w:rsidDel="00000000" w:rsidR="00000000" w:rsidRPr="00000000">
        <w:rPr>
          <w:color w:val="000000"/>
          <w:sz w:val="20"/>
          <w:szCs w:val="20"/>
          <w:rtl w:val="0"/>
        </w:rPr>
        <w:t xml:space="preserve">1Institute of Geological Sciences, Polish Academy of Sciences, Warsaw, Poland</w:t>
      </w:r>
    </w:p>
    <w:p w:rsidR="00000000" w:rsidDel="00000000" w:rsidP="00000000" w:rsidRDefault="00000000" w:rsidRPr="00000000" w14:paraId="000001B9">
      <w:pPr>
        <w:jc w:val="both"/>
        <w:rPr>
          <w:color w:val="000000"/>
          <w:sz w:val="20"/>
          <w:szCs w:val="20"/>
        </w:rPr>
      </w:pPr>
      <w:r w:rsidDel="00000000" w:rsidR="00000000" w:rsidRPr="00000000">
        <w:rPr>
          <w:color w:val="000000"/>
          <w:sz w:val="20"/>
          <w:szCs w:val="20"/>
          <w:rtl w:val="0"/>
        </w:rPr>
        <w:t xml:space="preserve">2Institute of Archaeology, Nicolaus Copernicus University in Toruń, Poland</w:t>
      </w:r>
    </w:p>
    <w:p w:rsidR="00000000" w:rsidDel="00000000" w:rsidP="00000000" w:rsidRDefault="00000000" w:rsidRPr="00000000" w14:paraId="000001BA">
      <w:pPr>
        <w:jc w:val="both"/>
        <w:rPr>
          <w:color w:val="000000"/>
          <w:sz w:val="20"/>
          <w:szCs w:val="20"/>
        </w:rPr>
      </w:pPr>
      <w:r w:rsidDel="00000000" w:rsidR="00000000" w:rsidRPr="00000000">
        <w:rPr>
          <w:color w:val="000000"/>
          <w:sz w:val="20"/>
          <w:szCs w:val="20"/>
          <w:rtl w:val="0"/>
        </w:rPr>
        <w:t xml:space="preserve">3Department of Geosciences, University of Tübingen, Germany</w:t>
      </w:r>
    </w:p>
    <w:p w:rsidR="00000000" w:rsidDel="00000000" w:rsidP="00000000" w:rsidRDefault="00000000" w:rsidRPr="00000000" w14:paraId="000001BB">
      <w:pPr>
        <w:jc w:val="both"/>
        <w:rPr>
          <w:color w:val="000000"/>
          <w:sz w:val="20"/>
          <w:szCs w:val="20"/>
        </w:rPr>
      </w:pPr>
      <w:r w:rsidDel="00000000" w:rsidR="00000000" w:rsidRPr="00000000">
        <w:rPr>
          <w:color w:val="000000"/>
          <w:sz w:val="20"/>
          <w:szCs w:val="20"/>
          <w:rtl w:val="0"/>
        </w:rPr>
        <w:t xml:space="preserve">4 Operational Directorate Earth and History of Life, Royal Belgian Institute of Natural Sciences, Brussels, Belgium</w:t>
      </w:r>
    </w:p>
    <w:p w:rsidR="00000000" w:rsidDel="00000000" w:rsidP="00000000" w:rsidRDefault="00000000" w:rsidRPr="00000000" w14:paraId="000001BC">
      <w:pPr>
        <w:jc w:val="both"/>
        <w:rPr>
          <w:color w:val="000000"/>
          <w:sz w:val="20"/>
          <w:szCs w:val="20"/>
        </w:rPr>
      </w:pPr>
      <w:r w:rsidDel="00000000" w:rsidR="00000000" w:rsidRPr="00000000">
        <w:rPr>
          <w:color w:val="000000"/>
          <w:sz w:val="20"/>
          <w:szCs w:val="20"/>
          <w:rtl w:val="0"/>
        </w:rPr>
        <w:t xml:space="preserve">5Laboratory of Biodiversity and Evolutionary Genomics, University of Leuven, Belgium</w:t>
      </w:r>
    </w:p>
    <w:p w:rsidR="00000000" w:rsidDel="00000000" w:rsidP="00000000" w:rsidRDefault="00000000" w:rsidRPr="00000000" w14:paraId="000001BD">
      <w:pPr>
        <w:jc w:val="both"/>
        <w:rPr>
          <w:color w:val="000000"/>
        </w:rPr>
      </w:pPr>
      <w:r w:rsidDel="00000000" w:rsidR="00000000" w:rsidRPr="00000000">
        <w:rPr>
          <w:rtl w:val="0"/>
        </w:rPr>
      </w:r>
    </w:p>
    <w:p w:rsidR="00000000" w:rsidDel="00000000" w:rsidP="00000000" w:rsidRDefault="00000000" w:rsidRPr="00000000" w14:paraId="000001BE">
      <w:pPr>
        <w:jc w:val="both"/>
        <w:rPr>
          <w:i w:val="1"/>
          <w:color w:val="000000"/>
          <w:u w:val="single"/>
        </w:rPr>
      </w:pPr>
      <w:r w:rsidDel="00000000" w:rsidR="00000000" w:rsidRPr="00000000">
        <w:rPr>
          <w:i w:val="1"/>
          <w:color w:val="000000"/>
          <w:u w:val="single"/>
          <w:rtl w:val="0"/>
        </w:rPr>
        <w:t xml:space="preserve">Dietary strategies in medieval urban cat populations through bone collagen C, N, S stable isotopes</w:t>
      </w:r>
    </w:p>
    <w:p w:rsidR="00000000" w:rsidDel="00000000" w:rsidP="00000000" w:rsidRDefault="00000000" w:rsidRPr="00000000" w14:paraId="000001BF">
      <w:pPr>
        <w:jc w:val="both"/>
        <w:rPr>
          <w:color w:val="000000"/>
        </w:rPr>
      </w:pPr>
      <w:r w:rsidDel="00000000" w:rsidR="00000000" w:rsidRPr="00000000">
        <w:rPr>
          <w:color w:val="000000"/>
          <w:rtl w:val="0"/>
        </w:rPr>
        <w:t xml:space="preserve">Domestic cat trophic ecology is a complex issue, since the cat, despite being a hypercarnivore, is very flexible in its diet choice. It can easily switch its subsistence strategies between benefiting from anthropic food, opportunistically exploiting synanthropic environment, and raiding the wilderness. Retrieving cat paleoecology from stable isotope data is thus a challenge. In a recently published paper (Krajcarz et al., Sci. Rep. 2022, 12:12775), we presented the general rules for interpreting C and N stable isotope records in cat bone collagen. The study revealed high isotopic variability in medieval urban and urban-seaport cats and their centered isotopic position among cats from other archaeological contexts. This may likely represent the availability of many variable food sources or the variable subsistence types. To address these problems, we selected a town in our collection with a high abundance of cat remains – Gdańsk in northern Poland, a good example of a domestic cat population living in one locality. We supplemented the previous C and N results with an analysis of collagen δ34S, which helps discriminating between marine and terrestrial resources and the regional geological differences. Using a combined C-N-S isotopic approach, we identified within the Gdańsk material several isotopic groups of cats representing different feeding strategies. Among them are cats heavily relying on marine resources and cats lacking the marine component in their diet. We further discuss the possible trophic niches that may contribute to reconstructing archaeological landscapes within and around the town. Exploiting chronological and spatial data, we also discuss the spatiotemporal shifts in the ecology of Gdańsk cats. This study was supported by the National Science Centre, Poland, grant no. 2017/27/B/NZ8/00728.</w:t>
      </w:r>
    </w:p>
    <w:p w:rsidR="00000000" w:rsidDel="00000000" w:rsidP="00000000" w:rsidRDefault="00000000" w:rsidRPr="00000000" w14:paraId="000001C0">
      <w:pPr>
        <w:jc w:val="both"/>
        <w:rPr>
          <w:i w:val="1"/>
          <w:color w:val="000000"/>
        </w:rPr>
      </w:pPr>
      <w:r w:rsidDel="00000000" w:rsidR="00000000" w:rsidRPr="00000000">
        <w:rPr>
          <w:i w:val="1"/>
          <w:color w:val="000000"/>
          <w:rtl w:val="0"/>
        </w:rPr>
        <w:t xml:space="preserve">Keywords: collagen, paleoecology, sulfur, nitrogen, carbon, population ecology, carnivore.</w:t>
      </w:r>
    </w:p>
    <w:p w:rsidR="00000000" w:rsidDel="00000000" w:rsidP="00000000" w:rsidRDefault="00000000" w:rsidRPr="00000000" w14:paraId="000001C1">
      <w:pPr>
        <w:jc w:val="both"/>
        <w:rPr>
          <w:color w:val="000000"/>
        </w:rPr>
      </w:pPr>
      <w:r w:rsidDel="00000000" w:rsidR="00000000" w:rsidRPr="00000000">
        <w:rPr>
          <w:rtl w:val="0"/>
        </w:rPr>
      </w:r>
    </w:p>
    <w:p w:rsidR="00000000" w:rsidDel="00000000" w:rsidP="00000000" w:rsidRDefault="00000000" w:rsidRPr="00000000" w14:paraId="000001C2">
      <w:pPr>
        <w:jc w:val="both"/>
        <w:rPr>
          <w:b w:val="1"/>
        </w:rPr>
      </w:pPr>
      <w:r w:rsidDel="00000000" w:rsidR="00000000" w:rsidRPr="00000000">
        <w:rPr>
          <w:rtl w:val="0"/>
        </w:rPr>
      </w:r>
    </w:p>
    <w:p w:rsidR="00000000" w:rsidDel="00000000" w:rsidP="00000000" w:rsidRDefault="00000000" w:rsidRPr="00000000" w14:paraId="000001C3">
      <w:pPr>
        <w:jc w:val="both"/>
        <w:rPr>
          <w:b w:val="1"/>
        </w:rPr>
      </w:pPr>
      <w:r w:rsidDel="00000000" w:rsidR="00000000" w:rsidRPr="00000000">
        <w:rPr>
          <w:b w:val="1"/>
          <w:rtl w:val="0"/>
        </w:rPr>
        <w:t xml:space="preserve">Benjamin Irvine1, Rana Özbal2, Christina Luke2, Christopher H. Roosevelt2, Canan Çakırlar3, Felix Pirson4</w:t>
      </w:r>
    </w:p>
    <w:p w:rsidR="00000000" w:rsidDel="00000000" w:rsidP="00000000" w:rsidRDefault="00000000" w:rsidRPr="00000000" w14:paraId="000001C4">
      <w:pPr>
        <w:jc w:val="both"/>
        <w:rPr>
          <w:sz w:val="20"/>
          <w:szCs w:val="20"/>
        </w:rPr>
      </w:pPr>
      <w:r w:rsidDel="00000000" w:rsidR="00000000" w:rsidRPr="00000000">
        <w:rPr>
          <w:sz w:val="20"/>
          <w:szCs w:val="20"/>
          <w:rtl w:val="0"/>
        </w:rPr>
        <w:t xml:space="preserve">1ANAMED (Koç University Research Center for Anatolian Civilizations)</w:t>
      </w:r>
    </w:p>
    <w:p w:rsidR="00000000" w:rsidDel="00000000" w:rsidP="00000000" w:rsidRDefault="00000000" w:rsidRPr="00000000" w14:paraId="000001C5">
      <w:pPr>
        <w:jc w:val="both"/>
        <w:rPr>
          <w:sz w:val="20"/>
          <w:szCs w:val="20"/>
        </w:rPr>
      </w:pPr>
      <w:r w:rsidDel="00000000" w:rsidR="00000000" w:rsidRPr="00000000">
        <w:rPr>
          <w:sz w:val="20"/>
          <w:szCs w:val="20"/>
          <w:rtl w:val="0"/>
        </w:rPr>
        <w:t xml:space="preserve">2Koç University, Department of Archaeology &amp; History of Art</w:t>
      </w:r>
    </w:p>
    <w:p w:rsidR="00000000" w:rsidDel="00000000" w:rsidP="00000000" w:rsidRDefault="00000000" w:rsidRPr="00000000" w14:paraId="000001C6">
      <w:pPr>
        <w:jc w:val="both"/>
        <w:rPr>
          <w:sz w:val="20"/>
          <w:szCs w:val="20"/>
        </w:rPr>
      </w:pPr>
      <w:r w:rsidDel="00000000" w:rsidR="00000000" w:rsidRPr="00000000">
        <w:rPr>
          <w:sz w:val="20"/>
          <w:szCs w:val="20"/>
          <w:rtl w:val="0"/>
        </w:rPr>
        <w:t xml:space="preserve">3University of Groningen, Institute of Archaeology</w:t>
      </w:r>
    </w:p>
    <w:p w:rsidR="00000000" w:rsidDel="00000000" w:rsidP="00000000" w:rsidRDefault="00000000" w:rsidRPr="00000000" w14:paraId="000001C7">
      <w:pPr>
        <w:jc w:val="both"/>
        <w:rPr>
          <w:sz w:val="20"/>
          <w:szCs w:val="20"/>
        </w:rPr>
      </w:pPr>
      <w:r w:rsidDel="00000000" w:rsidR="00000000" w:rsidRPr="00000000">
        <w:rPr>
          <w:sz w:val="20"/>
          <w:szCs w:val="20"/>
          <w:rtl w:val="0"/>
        </w:rPr>
        <w:t xml:space="preserve">4DAI (German Archaeological Institute) Istanbul</w:t>
      </w:r>
    </w:p>
    <w:p w:rsidR="00000000" w:rsidDel="00000000" w:rsidP="00000000" w:rsidRDefault="00000000" w:rsidRPr="00000000" w14:paraId="000001C8">
      <w:pPr>
        <w:jc w:val="both"/>
        <w:rPr>
          <w:i w:val="1"/>
        </w:rPr>
      </w:pPr>
      <w:r w:rsidDel="00000000" w:rsidR="00000000" w:rsidRPr="00000000">
        <w:rPr>
          <w:rtl w:val="0"/>
        </w:rPr>
      </w:r>
    </w:p>
    <w:p w:rsidR="00000000" w:rsidDel="00000000" w:rsidP="00000000" w:rsidRDefault="00000000" w:rsidRPr="00000000" w14:paraId="000001C9">
      <w:pPr>
        <w:jc w:val="both"/>
        <w:rPr>
          <w:i w:val="1"/>
          <w:u w:val="single"/>
        </w:rPr>
      </w:pPr>
      <w:r w:rsidDel="00000000" w:rsidR="00000000" w:rsidRPr="00000000">
        <w:rPr>
          <w:i w:val="1"/>
          <w:u w:val="single"/>
          <w:rtl w:val="0"/>
        </w:rPr>
        <w:t xml:space="preserve">Investigating Palaeoenvironment and Animal Management in Western Anatolia from the Neolithic to the Roman Period Utilising Stable Isotopes of Carbon and Nitrogen</w:t>
      </w:r>
    </w:p>
    <w:p w:rsidR="00000000" w:rsidDel="00000000" w:rsidP="00000000" w:rsidRDefault="00000000" w:rsidRPr="00000000" w14:paraId="000001CA">
      <w:pPr>
        <w:jc w:val="both"/>
        <w:rPr>
          <w:color w:val="000000"/>
        </w:rPr>
      </w:pPr>
      <w:r w:rsidDel="00000000" w:rsidR="00000000" w:rsidRPr="00000000">
        <w:rPr>
          <w:color w:val="000000"/>
          <w:rtl w:val="0"/>
        </w:rPr>
        <w:t xml:space="preserve">The joint DAI (German Archaeological Institute)-ANAMED (Koç University Research Center for Anatolian Civilizations) ‘Humidity and Society: 8,500 Years of Climate History in Western Anatolia’ project, as part of the DAI-Research cluster ‘Groundcheck’, explores the palaeoclimatic and palaeoenvironmental dynamics of western Anatolia and their impact at micro and macro levels. Part of the project also investigates anthropogenic responses to changes and factors, such as human-environment interactions, particularly associated with agriculture and related agro-economics, including animal management. The sites investigated within the scope of the project, and from where the material for this isotopic study come from, are: Neolithic Barcın Höyük, in northwestern Anatolia; Bronze Age Kaymakçı, in inland western Anatolia; and Hellenistic-Roman Pergamon, nearer the Aegean coast. A total of 267 faunal samples – from both wild and domestic species – were selected for stable isotope analysis of carbon (δ13C) and nitrogen (δ15N). These analyses were conducted to investigate animal management, as well as providing further proxy information related to palaeoenvironmental reconstruction. The large number of sampled animals, the largest single faunal isotope dataset from the Anatolian Peninsula, allows for a long durée examination at micro intra-site, and also macro, diachronic, and regional levels. The results of this analysis, and the resulting dataset, furthermore, provide an important contribution to palaeoenvironmental research in the Eastern Mediterranean and greater Near East area.</w:t>
      </w:r>
    </w:p>
    <w:p w:rsidR="00000000" w:rsidDel="00000000" w:rsidP="00000000" w:rsidRDefault="00000000" w:rsidRPr="00000000" w14:paraId="000001CB">
      <w:pPr>
        <w:jc w:val="both"/>
        <w:rPr>
          <w:i w:val="1"/>
          <w:color w:val="000000"/>
        </w:rPr>
      </w:pPr>
      <w:r w:rsidDel="00000000" w:rsidR="00000000" w:rsidRPr="00000000">
        <w:rPr>
          <w:i w:val="1"/>
          <w:color w:val="000000"/>
          <w:rtl w:val="0"/>
        </w:rPr>
        <w:t xml:space="preserve">Keywords: Turkey, animal husbandry, diet, palaeoenvironment.</w:t>
      </w:r>
    </w:p>
    <w:p w:rsidR="00000000" w:rsidDel="00000000" w:rsidP="00000000" w:rsidRDefault="00000000" w:rsidRPr="00000000" w14:paraId="000001CC">
      <w:pPr>
        <w:jc w:val="both"/>
        <w:rPr>
          <w:color w:val="000000"/>
        </w:rPr>
      </w:pPr>
      <w:r w:rsidDel="00000000" w:rsidR="00000000" w:rsidRPr="00000000">
        <w:rPr>
          <w:rtl w:val="0"/>
        </w:rPr>
      </w:r>
    </w:p>
    <w:p w:rsidR="00000000" w:rsidDel="00000000" w:rsidP="00000000" w:rsidRDefault="00000000" w:rsidRPr="00000000" w14:paraId="000001CD">
      <w:pPr>
        <w:jc w:val="both"/>
        <w:rPr>
          <w:color w:val="000000"/>
        </w:rPr>
      </w:pPr>
      <w:r w:rsidDel="00000000" w:rsidR="00000000" w:rsidRPr="00000000">
        <w:rPr>
          <w:rtl w:val="0"/>
        </w:rPr>
      </w:r>
    </w:p>
    <w:p w:rsidR="00000000" w:rsidDel="00000000" w:rsidP="00000000" w:rsidRDefault="00000000" w:rsidRPr="00000000" w14:paraId="000001CE">
      <w:pPr>
        <w:jc w:val="both"/>
        <w:rPr>
          <w:b w:val="1"/>
          <w:color w:val="000000"/>
        </w:rPr>
      </w:pPr>
      <w:r w:rsidDel="00000000" w:rsidR="00000000" w:rsidRPr="00000000">
        <w:rPr>
          <w:b w:val="1"/>
          <w:rtl w:val="0"/>
        </w:rPr>
        <w:t xml:space="preserve">Seminew Asrat Mogesie, </w:t>
      </w:r>
      <w:r w:rsidDel="00000000" w:rsidR="00000000" w:rsidRPr="00000000">
        <w:rPr>
          <w:b w:val="1"/>
          <w:color w:val="000000"/>
          <w:rtl w:val="0"/>
        </w:rPr>
        <w:t xml:space="preserve">Caterina Aurelli, Marianna Fusco, Mary Anne Tafuri, Enza Elena Spinapolice</w:t>
      </w:r>
    </w:p>
    <w:p w:rsidR="00000000" w:rsidDel="00000000" w:rsidP="00000000" w:rsidRDefault="00000000" w:rsidRPr="00000000" w14:paraId="000001CF">
      <w:pPr>
        <w:jc w:val="both"/>
        <w:rPr>
          <w:color w:val="000000"/>
          <w:sz w:val="20"/>
          <w:szCs w:val="20"/>
        </w:rPr>
      </w:pPr>
      <w:r w:rsidDel="00000000" w:rsidR="00000000" w:rsidRPr="00000000">
        <w:rPr>
          <w:color w:val="000000"/>
          <w:sz w:val="20"/>
          <w:szCs w:val="20"/>
          <w:rtl w:val="0"/>
        </w:rPr>
        <w:t xml:space="preserve">Sapienza University of Rome, Italy</w:t>
      </w:r>
    </w:p>
    <w:p w:rsidR="00000000" w:rsidDel="00000000" w:rsidP="00000000" w:rsidRDefault="00000000" w:rsidRPr="00000000" w14:paraId="000001D0">
      <w:pPr>
        <w:jc w:val="both"/>
        <w:rPr>
          <w:color w:val="000000"/>
        </w:rPr>
      </w:pPr>
      <w:r w:rsidDel="00000000" w:rsidR="00000000" w:rsidRPr="00000000">
        <w:rPr>
          <w:rtl w:val="0"/>
        </w:rPr>
      </w:r>
    </w:p>
    <w:p w:rsidR="00000000" w:rsidDel="00000000" w:rsidP="00000000" w:rsidRDefault="00000000" w:rsidRPr="00000000" w14:paraId="000001D1">
      <w:pPr>
        <w:jc w:val="both"/>
        <w:rPr>
          <w:i w:val="1"/>
          <w:color w:val="000000"/>
          <w:u w:val="single"/>
        </w:rPr>
      </w:pPr>
      <w:r w:rsidDel="00000000" w:rsidR="00000000" w:rsidRPr="00000000">
        <w:rPr>
          <w:i w:val="1"/>
          <w:color w:val="000000"/>
          <w:u w:val="single"/>
          <w:rtl w:val="0"/>
        </w:rPr>
        <w:t xml:space="preserve">New insights into the late Pleistocene paleoecology using δ13C and δ18O enamel isotope evidence from Gotera, Southern Ethiopia</w:t>
      </w:r>
    </w:p>
    <w:p w:rsidR="00000000" w:rsidDel="00000000" w:rsidP="00000000" w:rsidRDefault="00000000" w:rsidRPr="00000000" w14:paraId="000001D2">
      <w:pPr>
        <w:jc w:val="both"/>
        <w:rPr>
          <w:color w:val="000000"/>
        </w:rPr>
      </w:pPr>
      <w:r w:rsidDel="00000000" w:rsidR="00000000" w:rsidRPr="00000000">
        <w:rPr>
          <w:color w:val="000000"/>
          <w:rtl w:val="0"/>
        </w:rPr>
        <w:t xml:space="preserve">The origin of behavioral modernity, geographic dispersal, and technological development of Anatomically Modern Humans (AMH) coincided with the profound late Pleistocene stadial, and interstadial climatic episodes might have impacted human adaptation and resilience. It has been argued that tropical eastern African highlands with locally available resources such as water, landscape setting, precipitation, and highland forests were potential refugia during the Late Pleistocene environmental and climatic stresses. Nonetheless, this aspect becomes obscure in Ethiopia where site-specific environmental and climatic records of MSA sites remain poorly studied. Here, we present the result of δ13Cenamel and δ18Oenamel stable isotopic analysis of bulk and sequential samples (n=62) of mammalian teeth enamel from Gotera. The newly discovered MSA site of Gotera in southern Ethiopia dated to the Marine Isotope Stage 3 (MIS 3) provides fresh data about the ecological context of AMH. We discuss the new insights into the environmental and climatic contexts as well as the subsistence strategies of AMH in southern Ethiopia.</w:t>
      </w:r>
    </w:p>
    <w:p w:rsidR="00000000" w:rsidDel="00000000" w:rsidP="00000000" w:rsidRDefault="00000000" w:rsidRPr="00000000" w14:paraId="000001D3">
      <w:pPr>
        <w:jc w:val="both"/>
        <w:rPr>
          <w:i w:val="1"/>
          <w:color w:val="000000"/>
        </w:rPr>
      </w:pPr>
      <w:r w:rsidDel="00000000" w:rsidR="00000000" w:rsidRPr="00000000">
        <w:rPr>
          <w:i w:val="1"/>
          <w:color w:val="000000"/>
          <w:rtl w:val="0"/>
        </w:rPr>
        <w:t xml:space="preserve">Keywords: Paleoecology, Late Pleistocene, Stable Isotope, Gotera, southern Ethiopia.</w:t>
      </w:r>
    </w:p>
    <w:p w:rsidR="00000000" w:rsidDel="00000000" w:rsidP="00000000" w:rsidRDefault="00000000" w:rsidRPr="00000000" w14:paraId="000001D4">
      <w:pPr>
        <w:jc w:val="both"/>
        <w:rPr>
          <w:color w:val="000000"/>
        </w:rPr>
      </w:pPr>
      <w:r w:rsidDel="00000000" w:rsidR="00000000" w:rsidRPr="00000000">
        <w:rPr>
          <w:rtl w:val="0"/>
        </w:rPr>
      </w:r>
    </w:p>
    <w:p w:rsidR="00000000" w:rsidDel="00000000" w:rsidP="00000000" w:rsidRDefault="00000000" w:rsidRPr="00000000" w14:paraId="000001D5">
      <w:pPr>
        <w:jc w:val="both"/>
        <w:rPr/>
      </w:pPr>
      <w:r w:rsidDel="00000000" w:rsidR="00000000" w:rsidRPr="00000000">
        <w:rPr>
          <w:rtl w:val="0"/>
        </w:rPr>
      </w:r>
    </w:p>
    <w:p w:rsidR="00000000" w:rsidDel="00000000" w:rsidP="00000000" w:rsidRDefault="00000000" w:rsidRPr="00000000" w14:paraId="000001D6">
      <w:pPr>
        <w:jc w:val="both"/>
        <w:rPr>
          <w:b w:val="1"/>
        </w:rPr>
      </w:pPr>
      <w:r w:rsidDel="00000000" w:rsidR="00000000" w:rsidRPr="00000000">
        <w:rPr>
          <w:b w:val="1"/>
          <w:rtl w:val="0"/>
        </w:rPr>
        <w:t xml:space="preserve">Jennifer R. Jones, Michael P. Richards, Lawrence G. Straus, Ana B. Marin Arroyo</w:t>
      </w:r>
    </w:p>
    <w:p w:rsidR="00000000" w:rsidDel="00000000" w:rsidP="00000000" w:rsidRDefault="00000000" w:rsidRPr="00000000" w14:paraId="000001D7">
      <w:pPr>
        <w:jc w:val="both"/>
        <w:rPr>
          <w:color w:val="000000"/>
          <w:sz w:val="20"/>
          <w:szCs w:val="20"/>
        </w:rPr>
      </w:pPr>
      <w:r w:rsidDel="00000000" w:rsidR="00000000" w:rsidRPr="00000000">
        <w:rPr>
          <w:color w:val="000000"/>
          <w:sz w:val="20"/>
          <w:szCs w:val="20"/>
          <w:rtl w:val="0"/>
        </w:rPr>
        <w:t xml:space="preserve">University of Central Lancashire, United Kingdom</w:t>
      </w:r>
    </w:p>
    <w:p w:rsidR="00000000" w:rsidDel="00000000" w:rsidP="00000000" w:rsidRDefault="00000000" w:rsidRPr="00000000" w14:paraId="000001D8">
      <w:pPr>
        <w:jc w:val="both"/>
        <w:rPr>
          <w:color w:val="000000"/>
        </w:rPr>
      </w:pPr>
      <w:r w:rsidDel="00000000" w:rsidR="00000000" w:rsidRPr="00000000">
        <w:rPr>
          <w:rtl w:val="0"/>
        </w:rPr>
      </w:r>
    </w:p>
    <w:p w:rsidR="00000000" w:rsidDel="00000000" w:rsidP="00000000" w:rsidRDefault="00000000" w:rsidRPr="00000000" w14:paraId="000001D9">
      <w:pPr>
        <w:jc w:val="both"/>
        <w:rPr>
          <w:i w:val="1"/>
          <w:color w:val="000000"/>
          <w:u w:val="single"/>
        </w:rPr>
      </w:pPr>
      <w:r w:rsidDel="00000000" w:rsidR="00000000" w:rsidRPr="00000000">
        <w:rPr>
          <w:i w:val="1"/>
          <w:color w:val="000000"/>
          <w:u w:val="single"/>
          <w:rtl w:val="0"/>
        </w:rPr>
        <w:t xml:space="preserve">Ice Age survival: Exploring the impact of microenvironments and changing faunal niches on human hunting behaviour using stable isotope techniques in a Southern European Refugium </w:t>
      </w:r>
    </w:p>
    <w:p w:rsidR="00000000" w:rsidDel="00000000" w:rsidP="00000000" w:rsidRDefault="00000000" w:rsidRPr="00000000" w14:paraId="000001DA">
      <w:pPr>
        <w:jc w:val="both"/>
        <w:rPr>
          <w:color w:val="000000"/>
        </w:rPr>
      </w:pPr>
      <w:r w:rsidDel="00000000" w:rsidR="00000000" w:rsidRPr="00000000">
        <w:rPr>
          <w:color w:val="000000"/>
          <w:rtl w:val="0"/>
        </w:rPr>
        <w:t xml:space="preserve">The Last Glacial Maximum was a time of great climatic and environmental change. When ice sheets covered much of Northern Europe, populations were pushed into Southern Refugia in order to survive. Exactly what conditions were like there to facilitate survival of different species requires further exploration. Bone collagen δ13C, δ15N and δ34S analysis of 500+ red deer and ibex from sites with long chronologies (22-10kyr BP) across Atlantic Northern Spain was used to reconstruct paleoenvironmental conditions and changing faunal palaeoecologies as a way of adapting to environmental change. Results have demonstrated that large scale climatic shifts associated with the Last Glacial Maximum and subsequent environmental improvement were reflected at each site, allowing an understanding of regional scale conditions experienced. On an individual site level, it was apparent that animal species altered their niches and behaviour differently depending on the local microenvironments available. The unique environmental conditions in this location, likely due to the dynamic topography, river and valley systems, created microenvironments that offered plenty of opportunity for animals to adapt in a variety of ways to the conditions. Human populations may have been drawn to this region because of the variety of prey and resources available in these microenvironments leading to an increased population in the region evidenced by increasing numbers of archaeological sites. This paper highlights the value of revisiting zooarchaeological collections from older excavations to answer questions about human-animal-environment relationships. Whilst large-scale analysis can help to understand regional patterns in environments, local and site-based studies are crucial for understanding variability in the landscape, and how this may have facilitated survival. This research helps to shed light on how human and animal populations were able to survive in LGM European Refugia when other parts of Europe were inhospitable.</w:t>
      </w:r>
    </w:p>
    <w:p w:rsidR="00000000" w:rsidDel="00000000" w:rsidP="00000000" w:rsidRDefault="00000000" w:rsidRPr="00000000" w14:paraId="000001DB">
      <w:pPr>
        <w:jc w:val="both"/>
        <w:rPr>
          <w:i w:val="1"/>
          <w:color w:val="000000"/>
        </w:rPr>
      </w:pPr>
      <w:r w:rsidDel="00000000" w:rsidR="00000000" w:rsidRPr="00000000">
        <w:rPr>
          <w:i w:val="1"/>
          <w:color w:val="000000"/>
          <w:rtl w:val="0"/>
        </w:rPr>
        <w:t xml:space="preserve">Keywords: Last Glacial Maximum, Palaeoecology, Microenvironments.</w:t>
      </w:r>
    </w:p>
    <w:p w:rsidR="00000000" w:rsidDel="00000000" w:rsidP="00000000" w:rsidRDefault="00000000" w:rsidRPr="00000000" w14:paraId="000001DC">
      <w:pPr>
        <w:jc w:val="both"/>
        <w:rPr>
          <w:color w:val="000000"/>
        </w:rPr>
      </w:pPr>
      <w:r w:rsidDel="00000000" w:rsidR="00000000" w:rsidRPr="00000000">
        <w:rPr>
          <w:rtl w:val="0"/>
        </w:rPr>
      </w:r>
    </w:p>
    <w:p w:rsidR="00000000" w:rsidDel="00000000" w:rsidP="00000000" w:rsidRDefault="00000000" w:rsidRPr="00000000" w14:paraId="000001DD">
      <w:pPr>
        <w:jc w:val="both"/>
        <w:rPr>
          <w:color w:val="000000"/>
        </w:rPr>
      </w:pPr>
      <w:r w:rsidDel="00000000" w:rsidR="00000000" w:rsidRPr="00000000">
        <w:rPr>
          <w:rtl w:val="0"/>
        </w:rPr>
      </w:r>
    </w:p>
    <w:p w:rsidR="00000000" w:rsidDel="00000000" w:rsidP="00000000" w:rsidRDefault="00000000" w:rsidRPr="00000000" w14:paraId="000001DE">
      <w:pPr>
        <w:jc w:val="both"/>
        <w:rPr>
          <w:b w:val="1"/>
          <w:color w:val="000000"/>
        </w:rPr>
      </w:pPr>
      <w:r w:rsidDel="00000000" w:rsidR="00000000" w:rsidRPr="00000000">
        <w:rPr>
          <w:b w:val="1"/>
          <w:color w:val="000000"/>
          <w:rtl w:val="0"/>
        </w:rPr>
        <w:t xml:space="preserve">Sarah Pederzani1,2, Manuel Trost1, Nicolas Bourgon1,3, Jeremy McCormack1,4, Kate Britton5,1, Helen Fewlass1,6, Jean-Jacques Hublin1,7, Shannon McPherron1, Tim Schüler8, Geoff M. Smith1,9, Sahra Talamo1,10, Marcel Weiss1,11, Thomas Tütken12, Klervia Jaouen13,1 </w:t>
      </w:r>
    </w:p>
    <w:p w:rsidR="00000000" w:rsidDel="00000000" w:rsidP="00000000" w:rsidRDefault="00000000" w:rsidRPr="00000000" w14:paraId="000001DF">
      <w:pPr>
        <w:jc w:val="both"/>
        <w:rPr>
          <w:color w:val="000000"/>
          <w:sz w:val="20"/>
          <w:szCs w:val="20"/>
        </w:rPr>
      </w:pPr>
      <w:r w:rsidDel="00000000" w:rsidR="00000000" w:rsidRPr="00000000">
        <w:rPr>
          <w:color w:val="000000"/>
          <w:sz w:val="20"/>
          <w:szCs w:val="20"/>
          <w:rtl w:val="0"/>
        </w:rPr>
        <w:t xml:space="preserve">1Department of Human Evolution, Max-Planck-Institute for Evolutionary Anthropology, Leipzig, Germany 2Archaeological Micromorphology and Biomarkers Laboratory (AMBI Lab), Instituto Universitario de Bio-Orgánica “Antonio González”, University of La Laguna, San Cristóbal de La Laguna, Tenerife, Spain 3Department of Archaeology, Max-Planck-Institute for Geoanthropology, Jena, Germany 4Institute of Geosciences, Goethe-University Frankfurt, Frankfurt am Main, Germany 5Department of Archaeology, University of Aberdeen, Aberdeen, UK 6Francis Crick Institute, London, UK 7Chaire de Paléoanthropologie, CIRB (UMR 7241 – U1050), Collège de France, Paris, France 8Thuringian State Office for the Preservation of Historical Monuments and Archaeology Weimar, Germany 9School of Anthropology and Conservation, University of Kent, Canterbury, UK 10Department of Chemistry G. Ciamician, Alma Mater Studiorum, University of Bologna, Bologna, Italy 11Institut für Ur- und Frühgeschichte, Friedrich-Alexander-University Erlangen-Nürnberg, Erlangen, Germany 12Applied and Analytical Palaeontology, Institute of Geosciences, Johannes Gutenberg University, Mainz, Germany 13Géosciences Environnement Toulouse, Observatoire Midi Pyrénées, UMR 5563, CNRS, 31400 Toulouse, France </w:t>
      </w:r>
    </w:p>
    <w:p w:rsidR="00000000" w:rsidDel="00000000" w:rsidP="00000000" w:rsidRDefault="00000000" w:rsidRPr="00000000" w14:paraId="000001E0">
      <w:pPr>
        <w:jc w:val="both"/>
        <w:rPr>
          <w:color w:val="000000"/>
        </w:rPr>
      </w:pPr>
      <w:r w:rsidDel="00000000" w:rsidR="00000000" w:rsidRPr="00000000">
        <w:rPr>
          <w:rtl w:val="0"/>
        </w:rPr>
      </w:r>
    </w:p>
    <w:p w:rsidR="00000000" w:rsidDel="00000000" w:rsidP="00000000" w:rsidRDefault="00000000" w:rsidRPr="00000000" w14:paraId="000001E1">
      <w:pPr>
        <w:jc w:val="both"/>
        <w:rPr>
          <w:i w:val="1"/>
          <w:color w:val="000000"/>
          <w:u w:val="single"/>
        </w:rPr>
      </w:pPr>
      <w:r w:rsidDel="00000000" w:rsidR="00000000" w:rsidRPr="00000000">
        <w:rPr>
          <w:i w:val="1"/>
          <w:color w:val="000000"/>
          <w:u w:val="single"/>
          <w:rtl w:val="0"/>
        </w:rPr>
        <w:t xml:space="preserve">Shining a light on C3 environments? New data on δ66Zn as a proxy for herbivore grazing and plant ecosystem change in the European Pleistocene </w:t>
      </w:r>
    </w:p>
    <w:p w:rsidR="00000000" w:rsidDel="00000000" w:rsidP="00000000" w:rsidRDefault="00000000" w:rsidRPr="00000000" w14:paraId="000001E2">
      <w:pPr>
        <w:jc w:val="both"/>
        <w:rPr>
          <w:color w:val="000000"/>
        </w:rPr>
      </w:pPr>
      <w:r w:rsidDel="00000000" w:rsidR="00000000" w:rsidRPr="00000000">
        <w:rPr>
          <w:color w:val="000000"/>
          <w:rtl w:val="0"/>
        </w:rPr>
        <w:t xml:space="preserve">Reconstruction of grazing-browsing feeding ecology of herbivores allows insights into past shifts between grasslands and forests as well as into feeding niches of herbivores. Such shifts are central to the evolution and ecological plasticity of Pleistocene keystone taxa such as equids and bison. However, grazing/browsing distinctions are isotopically difficult to explore outside of tropical environments containing C4 grasses or dense rainforest detectable via δ13C. Zinc stable isotope values (δ66Zn) have shown potential as a grazing/browsing tracer, which could be key for illuminating C3 ecosystems such as Pleistocene Europe. However, trends in published data are not universal across ecosystems and data remains sparse. Here we present seasonal δ66Zn data from horse teeth (N = 16) covering a time range between ~ 48 - 35 ka ago from Ranis Ilsenhöhle, Germany. We combine this with seasonal enamel 87Sr/86Sr, sequential δ18Ophosphate, and dentine collagen δ13C and δ15N data. Our results are consistent with other data indicating higher δ66Zn values may correlate with increased grazing behaviour. Horses show higher δ66Zn than browsing cervids and highest values of δ66Zn and δ15N of horse specimen coincide with lowest δ18O values ~ 44 ka ago, suggesting a cold, arid steppe tundra consistent with a grazing niche for the horses. However, an influence of soil development and microbial activity affecting both baseline δ66Zn and δ15N may also be a factor. Also, δ66Zn does not correlate with collagen δ13C, which needs further investigation. Comparisons of δ66Zn data with 87Sr/86Sr data identify a single individual with potential seasonal movement, underscoring the need to to contextualise δ66Zn data with a second spatially-sensitive tracer to account for the spatial ecology of study specimens. These results show potential for δ66Zn as a palaeoecological and palaeoenvironmental tracer that could take studies of past C3 environments beyond what is currently possible with δ13C.</w:t>
      </w:r>
    </w:p>
    <w:p w:rsidR="00000000" w:rsidDel="00000000" w:rsidP="00000000" w:rsidRDefault="00000000" w:rsidRPr="00000000" w14:paraId="000001E3">
      <w:pPr>
        <w:jc w:val="both"/>
        <w:rPr>
          <w:i w:val="1"/>
        </w:rPr>
      </w:pPr>
      <w:r w:rsidDel="00000000" w:rsidR="00000000" w:rsidRPr="00000000">
        <w:rPr>
          <w:i w:val="1"/>
          <w:color w:val="000000"/>
          <w:rtl w:val="0"/>
        </w:rPr>
        <w:t xml:space="preserve">Keywords: Palaeoecology, palaeoclimate, Pleistocene, zinc isotopes, feeding ecology, spatial ecology.</w:t>
      </w:r>
      <w:r w:rsidDel="00000000" w:rsidR="00000000" w:rsidRPr="00000000">
        <w:rPr>
          <w:rtl w:val="0"/>
        </w:rPr>
      </w:r>
    </w:p>
    <w:p w:rsidR="00000000" w:rsidDel="00000000" w:rsidP="00000000" w:rsidRDefault="00000000" w:rsidRPr="00000000" w14:paraId="000001E4">
      <w:pPr>
        <w:jc w:val="both"/>
        <w:rPr>
          <w:b w:val="1"/>
        </w:rPr>
      </w:pPr>
      <w:r w:rsidDel="00000000" w:rsidR="00000000" w:rsidRPr="00000000">
        <w:rPr>
          <w:rtl w:val="0"/>
        </w:rPr>
      </w:r>
    </w:p>
    <w:p w:rsidR="00000000" w:rsidDel="00000000" w:rsidP="00000000" w:rsidRDefault="00000000" w:rsidRPr="00000000" w14:paraId="000001E5">
      <w:pPr>
        <w:jc w:val="both"/>
        <w:rPr>
          <w:b w:val="1"/>
        </w:rPr>
      </w:pPr>
      <w:r w:rsidDel="00000000" w:rsidR="00000000" w:rsidRPr="00000000">
        <w:rPr>
          <w:rtl w:val="0"/>
        </w:rPr>
      </w:r>
    </w:p>
    <w:p w:rsidR="00000000" w:rsidDel="00000000" w:rsidP="00000000" w:rsidRDefault="00000000" w:rsidRPr="00000000" w14:paraId="000001E6">
      <w:pPr>
        <w:jc w:val="both"/>
        <w:rPr>
          <w:b w:val="1"/>
          <w:color w:val="000000"/>
        </w:rPr>
      </w:pPr>
      <w:r w:rsidDel="00000000" w:rsidR="00000000" w:rsidRPr="00000000">
        <w:rPr>
          <w:b w:val="1"/>
          <w:rtl w:val="0"/>
        </w:rPr>
        <w:t xml:space="preserve">Michael Ziegler1, </w:t>
      </w:r>
      <w:r w:rsidDel="00000000" w:rsidR="00000000" w:rsidRPr="00000000">
        <w:rPr>
          <w:b w:val="1"/>
          <w:color w:val="000000"/>
          <w:rtl w:val="0"/>
        </w:rPr>
        <w:t xml:space="preserve">Patrick Roberts1, Jose Iriarte2</w:t>
      </w:r>
    </w:p>
    <w:p w:rsidR="00000000" w:rsidDel="00000000" w:rsidP="00000000" w:rsidRDefault="00000000" w:rsidRPr="00000000" w14:paraId="000001E7">
      <w:pPr>
        <w:jc w:val="both"/>
        <w:rPr>
          <w:color w:val="000000"/>
          <w:sz w:val="20"/>
          <w:szCs w:val="20"/>
        </w:rPr>
      </w:pPr>
      <w:r w:rsidDel="00000000" w:rsidR="00000000" w:rsidRPr="00000000">
        <w:rPr>
          <w:color w:val="000000"/>
          <w:sz w:val="20"/>
          <w:szCs w:val="20"/>
          <w:rtl w:val="0"/>
        </w:rPr>
        <w:t xml:space="preserve">1Max Planck Institute for Geoanthropology, Germany</w:t>
      </w:r>
    </w:p>
    <w:p w:rsidR="00000000" w:rsidDel="00000000" w:rsidP="00000000" w:rsidRDefault="00000000" w:rsidRPr="00000000" w14:paraId="000001E8">
      <w:pPr>
        <w:jc w:val="both"/>
        <w:rPr>
          <w:color w:val="000000"/>
          <w:sz w:val="20"/>
          <w:szCs w:val="20"/>
        </w:rPr>
      </w:pPr>
      <w:r w:rsidDel="00000000" w:rsidR="00000000" w:rsidRPr="00000000">
        <w:rPr>
          <w:color w:val="000000"/>
          <w:sz w:val="20"/>
          <w:szCs w:val="20"/>
          <w:rtl w:val="0"/>
        </w:rPr>
        <w:t xml:space="preserve">2University of Exeter, United Kingdom</w:t>
      </w:r>
    </w:p>
    <w:p w:rsidR="00000000" w:rsidDel="00000000" w:rsidP="00000000" w:rsidRDefault="00000000" w:rsidRPr="00000000" w14:paraId="000001E9">
      <w:pPr>
        <w:jc w:val="both"/>
        <w:rPr>
          <w:color w:val="000000"/>
        </w:rPr>
      </w:pPr>
      <w:r w:rsidDel="00000000" w:rsidR="00000000" w:rsidRPr="00000000">
        <w:rPr>
          <w:rtl w:val="0"/>
        </w:rPr>
      </w:r>
    </w:p>
    <w:p w:rsidR="00000000" w:rsidDel="00000000" w:rsidP="00000000" w:rsidRDefault="00000000" w:rsidRPr="00000000" w14:paraId="000001EA">
      <w:pPr>
        <w:jc w:val="both"/>
        <w:rPr>
          <w:i w:val="1"/>
          <w:color w:val="000000"/>
          <w:u w:val="single"/>
        </w:rPr>
      </w:pPr>
      <w:r w:rsidDel="00000000" w:rsidR="00000000" w:rsidRPr="00000000">
        <w:rPr>
          <w:i w:val="1"/>
          <w:color w:val="000000"/>
          <w:u w:val="single"/>
          <w:rtl w:val="0"/>
        </w:rPr>
        <w:t xml:space="preserve">Exploring the Palaeoecology of late Pleistocene – early Holocene Fossiliferous Archaeological Sites in Northwestern South America through Stable Isotope Analysis</w:t>
      </w:r>
    </w:p>
    <w:p w:rsidR="00000000" w:rsidDel="00000000" w:rsidP="00000000" w:rsidRDefault="00000000" w:rsidRPr="00000000" w14:paraId="000001EB">
      <w:pPr>
        <w:jc w:val="both"/>
        <w:rPr>
          <w:color w:val="000000"/>
        </w:rPr>
      </w:pPr>
      <w:r w:rsidDel="00000000" w:rsidR="00000000" w:rsidRPr="00000000">
        <w:rPr>
          <w:color w:val="000000"/>
          <w:rtl w:val="0"/>
        </w:rPr>
        <w:t xml:space="preserve">South America was the last continent to be colonized by early Homo sapiens and their spatio-temporal presence on the landscape overlaps with one of the largest sets of faunal extinctions witnessed during the Late Pleistocene - Early Holocene transition. As the gateway between the Americas, the northwestern corridor of South America facilitated intercontinental dispersal of early human settlers as well as other animal taxa and represents an important area for exploring early human-animal interactions. Moreover, this region is composed of a diverse environmental gradient (i.e., coasts, savannahs and lowland, Sub Andean and Andean tropical forests) which provides a critical proving ground for exploring the potential impacts of our species on resident fauna living in a variety of different habitats. Although the palaeontological record at archaeological sites across South America is growing, direct evidence of human-animal interactions remains fairly limited. Nevertheless, advances in stable isotope analysis and developing chronologies at select localities can help to identify changes in human and faunal diet from these shared environments as well as provide insights into ecological and anthropogenic pressures. Through the ERC-funded LASTJOURNEY project’s multidisciplinary approach, this research explores how palaeontology, ecological modelling, and biomolecular analyses can add to our current knowledge of the relationship between human dispersals, faunal population dynamics, and environmental changes in the region.</w:t>
      </w:r>
    </w:p>
    <w:p w:rsidR="00000000" w:rsidDel="00000000" w:rsidP="00000000" w:rsidRDefault="00000000" w:rsidRPr="00000000" w14:paraId="000001EC">
      <w:pPr>
        <w:jc w:val="both"/>
        <w:rPr>
          <w:i w:val="1"/>
          <w:color w:val="000000"/>
        </w:rPr>
      </w:pPr>
      <w:r w:rsidDel="00000000" w:rsidR="00000000" w:rsidRPr="00000000">
        <w:rPr>
          <w:i w:val="1"/>
          <w:color w:val="000000"/>
          <w:rtl w:val="0"/>
        </w:rPr>
        <w:t xml:space="preserve">Keywords: Stable Isotopes, South America, Human &amp; Fauna, Early Colonization, late Pleistocene, early Holocene.</w:t>
      </w:r>
    </w:p>
    <w:p w:rsidR="00000000" w:rsidDel="00000000" w:rsidP="00000000" w:rsidRDefault="00000000" w:rsidRPr="00000000" w14:paraId="000001ED">
      <w:pPr>
        <w:jc w:val="both"/>
        <w:rPr>
          <w:b w:val="1"/>
        </w:rPr>
      </w:pPr>
      <w:r w:rsidDel="00000000" w:rsidR="00000000" w:rsidRPr="00000000">
        <w:rPr>
          <w:rtl w:val="0"/>
        </w:rPr>
      </w:r>
    </w:p>
    <w:p w:rsidR="00000000" w:rsidDel="00000000" w:rsidP="00000000" w:rsidRDefault="00000000" w:rsidRPr="00000000" w14:paraId="000001EE">
      <w:pPr>
        <w:jc w:val="both"/>
        <w:rPr>
          <w:b w:val="1"/>
        </w:rPr>
      </w:pPr>
      <w:r w:rsidDel="00000000" w:rsidR="00000000" w:rsidRPr="00000000">
        <w:rPr>
          <w:rtl w:val="0"/>
        </w:rPr>
      </w:r>
    </w:p>
    <w:p w:rsidR="00000000" w:rsidDel="00000000" w:rsidP="00000000" w:rsidRDefault="00000000" w:rsidRPr="00000000" w14:paraId="000001EF">
      <w:pPr>
        <w:jc w:val="both"/>
        <w:rPr>
          <w:b w:val="1"/>
          <w:color w:val="000000"/>
        </w:rPr>
      </w:pPr>
      <w:r w:rsidDel="00000000" w:rsidR="00000000" w:rsidRPr="00000000">
        <w:rPr>
          <w:b w:val="1"/>
          <w:rtl w:val="0"/>
        </w:rPr>
        <w:t xml:space="preserve">Samuel Johns1,</w:t>
      </w:r>
      <w:r w:rsidDel="00000000" w:rsidR="00000000" w:rsidRPr="00000000">
        <w:rPr>
          <w:b w:val="1"/>
          <w:color w:val="000000"/>
          <w:rtl w:val="0"/>
        </w:rPr>
        <w:t xml:space="preserve"> Charlie Maule1, Lora Angelova2, Marc Vermeulen2, Matthew J. Collins3,4, Melanie Roffet-Salque1</w:t>
      </w:r>
    </w:p>
    <w:p w:rsidR="00000000" w:rsidDel="00000000" w:rsidP="00000000" w:rsidRDefault="00000000" w:rsidRPr="00000000" w14:paraId="000001F0">
      <w:pPr>
        <w:jc w:val="both"/>
        <w:rPr>
          <w:color w:val="000000"/>
          <w:sz w:val="20"/>
          <w:szCs w:val="20"/>
        </w:rPr>
      </w:pPr>
      <w:r w:rsidDel="00000000" w:rsidR="00000000" w:rsidRPr="00000000">
        <w:rPr>
          <w:color w:val="000000"/>
          <w:sz w:val="20"/>
          <w:szCs w:val="20"/>
          <w:rtl w:val="0"/>
        </w:rPr>
        <w:t xml:space="preserve">1University of Bristol, United Kingdom</w:t>
      </w:r>
    </w:p>
    <w:p w:rsidR="00000000" w:rsidDel="00000000" w:rsidP="00000000" w:rsidRDefault="00000000" w:rsidRPr="00000000" w14:paraId="000001F1">
      <w:pPr>
        <w:jc w:val="both"/>
        <w:rPr>
          <w:color w:val="000000"/>
          <w:sz w:val="20"/>
          <w:szCs w:val="20"/>
        </w:rPr>
      </w:pPr>
      <w:r w:rsidDel="00000000" w:rsidR="00000000" w:rsidRPr="00000000">
        <w:rPr>
          <w:color w:val="000000"/>
          <w:sz w:val="20"/>
          <w:szCs w:val="20"/>
          <w:rtl w:val="0"/>
        </w:rPr>
        <w:t xml:space="preserve">2The National Archives, United Kingdom</w:t>
      </w:r>
    </w:p>
    <w:p w:rsidR="00000000" w:rsidDel="00000000" w:rsidP="00000000" w:rsidRDefault="00000000" w:rsidRPr="00000000" w14:paraId="000001F2">
      <w:pPr>
        <w:jc w:val="both"/>
        <w:rPr>
          <w:color w:val="000000"/>
          <w:sz w:val="20"/>
          <w:szCs w:val="20"/>
        </w:rPr>
      </w:pPr>
      <w:r w:rsidDel="00000000" w:rsidR="00000000" w:rsidRPr="00000000">
        <w:rPr>
          <w:color w:val="000000"/>
          <w:sz w:val="20"/>
          <w:szCs w:val="20"/>
          <w:rtl w:val="0"/>
        </w:rPr>
        <w:t xml:space="preserve">3University of Copenhagen, Denmark</w:t>
      </w:r>
    </w:p>
    <w:p w:rsidR="00000000" w:rsidDel="00000000" w:rsidP="00000000" w:rsidRDefault="00000000" w:rsidRPr="00000000" w14:paraId="000001F3">
      <w:pPr>
        <w:jc w:val="both"/>
        <w:rPr>
          <w:color w:val="000000"/>
          <w:sz w:val="20"/>
          <w:szCs w:val="20"/>
        </w:rPr>
      </w:pPr>
      <w:r w:rsidDel="00000000" w:rsidR="00000000" w:rsidRPr="00000000">
        <w:rPr>
          <w:color w:val="000000"/>
          <w:sz w:val="20"/>
          <w:szCs w:val="20"/>
          <w:rtl w:val="0"/>
        </w:rPr>
        <w:t xml:space="preserve">4University of Cambridge, United Kingdom</w:t>
      </w:r>
    </w:p>
    <w:p w:rsidR="00000000" w:rsidDel="00000000" w:rsidP="00000000" w:rsidRDefault="00000000" w:rsidRPr="00000000" w14:paraId="000001F4">
      <w:pPr>
        <w:jc w:val="both"/>
        <w:rPr>
          <w:color w:val="000000"/>
        </w:rPr>
      </w:pPr>
      <w:r w:rsidDel="00000000" w:rsidR="00000000" w:rsidRPr="00000000">
        <w:rPr>
          <w:rtl w:val="0"/>
        </w:rPr>
      </w:r>
    </w:p>
    <w:p w:rsidR="00000000" w:rsidDel="00000000" w:rsidP="00000000" w:rsidRDefault="00000000" w:rsidRPr="00000000" w14:paraId="000001F5">
      <w:pPr>
        <w:jc w:val="both"/>
        <w:rPr>
          <w:i w:val="1"/>
          <w:color w:val="000000"/>
          <w:u w:val="single"/>
        </w:rPr>
      </w:pPr>
      <w:r w:rsidDel="00000000" w:rsidR="00000000" w:rsidRPr="00000000">
        <w:rPr>
          <w:i w:val="1"/>
          <w:color w:val="000000"/>
          <w:u w:val="single"/>
          <w:rtl w:val="0"/>
        </w:rPr>
        <w:t xml:space="preserve">Historical Climate Signals Preserved Within Parchments from the UK Acts of Parliament </w:t>
      </w:r>
    </w:p>
    <w:p w:rsidR="00000000" w:rsidDel="00000000" w:rsidP="00000000" w:rsidRDefault="00000000" w:rsidRPr="00000000" w14:paraId="000001F6">
      <w:pPr>
        <w:jc w:val="both"/>
        <w:rPr>
          <w:color w:val="000000"/>
        </w:rPr>
      </w:pPr>
      <w:r w:rsidDel="00000000" w:rsidR="00000000" w:rsidRPr="00000000">
        <w:rPr>
          <w:color w:val="000000"/>
          <w:rtl w:val="0"/>
        </w:rPr>
        <w:t xml:space="preserve">Parchment is an ancient material formed from animal skins. Its manufacture employs a single goat, sheep or calf skin to make a single parchment folio and typically comprises repeated liming and scraping steps before drying under tension. As the primary medium for the documentation of litigation, art, and societal information for over 2,000 years, parchment is ubiquitous and, unlike many faunal remains, often dated to the year of its production. Historical parchment, therefore, represents a valuable record of cultural heritage but presents a considerable analytical challenge. Recently, the analysis of the stable isotopic composition of parchment collagen has shown potential for revealing a deeper understanding of the geography of historical parchment but, until now, has remained an untapped resource for studying environmental water and animal habitats. However, much like marine and mammalian bones and teeth, animal dermal lipids incorporate isotopic signals from meteoric water and diet. Here, we recognise lipids within parchment as a new source of information surrounding the reconstruction of historical climate. We have first developed a non-destructive technique to extract lipids which was validated in collaboration with The National Archives. In this paper, we report the application of our new extraction technique to sample lipids from the UK Parliamentary Rolls non-destructively. By applying this technique and assessing the hydrogen (H) isotopic composition of lipid extracts, we aim to report the first-ever climate signals recorded in parchment and present a new resource for the reconstruction of historical climate that may be used to evaluate state-of-the-art climate models.</w:t>
      </w:r>
    </w:p>
    <w:p w:rsidR="00000000" w:rsidDel="00000000" w:rsidP="00000000" w:rsidRDefault="00000000" w:rsidRPr="00000000" w14:paraId="000001F7">
      <w:pPr>
        <w:jc w:val="both"/>
        <w:rPr>
          <w:i w:val="1"/>
          <w:color w:val="000000"/>
        </w:rPr>
      </w:pPr>
      <w:r w:rsidDel="00000000" w:rsidR="00000000" w:rsidRPr="00000000">
        <w:rPr>
          <w:i w:val="1"/>
          <w:color w:val="000000"/>
          <w:rtl w:val="0"/>
        </w:rPr>
        <w:t xml:space="preserve">Keywords: Animal skins, deuterium isotopes, palaeoclimate, lipids.</w:t>
      </w:r>
    </w:p>
    <w:p w:rsidR="00000000" w:rsidDel="00000000" w:rsidP="00000000" w:rsidRDefault="00000000" w:rsidRPr="00000000" w14:paraId="000001F8">
      <w:pPr>
        <w:jc w:val="both"/>
        <w:rPr>
          <w:color w:val="000000"/>
        </w:rPr>
      </w:pPr>
      <w:r w:rsidDel="00000000" w:rsidR="00000000" w:rsidRPr="00000000">
        <w:rPr>
          <w:rtl w:val="0"/>
        </w:rPr>
      </w:r>
    </w:p>
    <w:p w:rsidR="00000000" w:rsidDel="00000000" w:rsidP="00000000" w:rsidRDefault="00000000" w:rsidRPr="00000000" w14:paraId="000001F9">
      <w:pPr>
        <w:jc w:val="both"/>
        <w:rPr>
          <w:color w:val="000000"/>
        </w:rPr>
      </w:pPr>
      <w:r w:rsidDel="00000000" w:rsidR="00000000" w:rsidRPr="00000000">
        <w:rPr>
          <w:rtl w:val="0"/>
        </w:rPr>
      </w:r>
    </w:p>
    <w:p w:rsidR="00000000" w:rsidDel="00000000" w:rsidP="00000000" w:rsidRDefault="00000000" w:rsidRPr="00000000" w14:paraId="000001FA">
      <w:pPr>
        <w:jc w:val="both"/>
        <w:rPr>
          <w:b w:val="1"/>
          <w:color w:val="000000"/>
        </w:rPr>
      </w:pPr>
      <w:r w:rsidDel="00000000" w:rsidR="00000000" w:rsidRPr="00000000">
        <w:rPr>
          <w:b w:val="1"/>
          <w:color w:val="000000"/>
          <w:rtl w:val="0"/>
        </w:rPr>
        <w:t xml:space="preserve">Larkin Chapman,1 Cyler Conrad,1,2 Cailtin Ainsworth,1, Emily Lena Jones,1 Chalowit Thongcharoenchaikit3 </w:t>
      </w:r>
    </w:p>
    <w:p w:rsidR="00000000" w:rsidDel="00000000" w:rsidP="00000000" w:rsidRDefault="00000000" w:rsidRPr="00000000" w14:paraId="000001FB">
      <w:pPr>
        <w:jc w:val="both"/>
        <w:rPr>
          <w:color w:val="000000"/>
          <w:sz w:val="20"/>
          <w:szCs w:val="20"/>
        </w:rPr>
      </w:pPr>
      <w:r w:rsidDel="00000000" w:rsidR="00000000" w:rsidRPr="00000000">
        <w:rPr>
          <w:color w:val="000000"/>
          <w:sz w:val="20"/>
          <w:szCs w:val="20"/>
          <w:rtl w:val="0"/>
        </w:rPr>
        <w:t xml:space="preserve">1Department of Anthropology, The University of New Mexico 2Environmental Protection and Compliance, Los Alamos National Laboratories 3Natural History Museum, National Science Museum, Thailand </w:t>
      </w:r>
    </w:p>
    <w:p w:rsidR="00000000" w:rsidDel="00000000" w:rsidP="00000000" w:rsidRDefault="00000000" w:rsidRPr="00000000" w14:paraId="000001FC">
      <w:pPr>
        <w:jc w:val="both"/>
        <w:rPr>
          <w:color w:val="000000"/>
        </w:rPr>
      </w:pPr>
      <w:r w:rsidDel="00000000" w:rsidR="00000000" w:rsidRPr="00000000">
        <w:rPr>
          <w:rtl w:val="0"/>
        </w:rPr>
      </w:r>
    </w:p>
    <w:p w:rsidR="00000000" w:rsidDel="00000000" w:rsidP="00000000" w:rsidRDefault="00000000" w:rsidRPr="00000000" w14:paraId="000001FD">
      <w:pPr>
        <w:jc w:val="both"/>
        <w:rPr>
          <w:i w:val="1"/>
          <w:color w:val="000000"/>
          <w:u w:val="single"/>
        </w:rPr>
      </w:pPr>
      <w:r w:rsidDel="00000000" w:rsidR="00000000" w:rsidRPr="00000000">
        <w:rPr>
          <w:i w:val="1"/>
          <w:color w:val="000000"/>
          <w:u w:val="single"/>
          <w:rtl w:val="0"/>
        </w:rPr>
        <w:t xml:space="preserve">The Burmese hare as a palaeoecological indicator: a stable isotope analysis from two archaeological sites in mainland southeast Asia </w:t>
      </w:r>
    </w:p>
    <w:p w:rsidR="00000000" w:rsidDel="00000000" w:rsidP="00000000" w:rsidRDefault="00000000" w:rsidRPr="00000000" w14:paraId="000001FE">
      <w:pPr>
        <w:jc w:val="both"/>
        <w:rPr>
          <w:color w:val="000000"/>
        </w:rPr>
      </w:pPr>
      <w:r w:rsidDel="00000000" w:rsidR="00000000" w:rsidRPr="00000000">
        <w:rPr>
          <w:color w:val="000000"/>
          <w:rtl w:val="0"/>
        </w:rPr>
        <w:t xml:space="preserve">Although abundant in mainland southeast Asian landscapes, the Burmese hare, Lepus peguensis, is rare in the archaeological record: only 49 specimens of this cryptic species have been identified in archaeological contexts , and virtually none from paleontological deposits. Perhaps in part for this reason, little is known about the hare in prehistory, despite the fact that it may, like other leporid taxa, provide valuable paleoecological information. In this paper, we present a pilot dataset of stable isotope values from the Burmese hare. We sampled five specimens from two late Neolithic archaeological sites in Thailand, Non Nok Tha the Bang site, as well as one 20th century sample. We find that there are consistent δ13C values between specimens, while δ18O and δ15N show a considerable spread. We suggest that the observed difference between δ15N values may be due to landscape transformation associated with the advent of agriculture in the region approximately 4,000-2,000 years ago. Further, the spread in δ18O values may be due to the seasonal monsoon cycle present in mainland southeast Asia, potentially providing information on past severity. Future research is required to both identify additional Burmese hares in the archaeological record and examine their stable isotope ecology through time.</w:t>
      </w:r>
    </w:p>
    <w:p w:rsidR="00000000" w:rsidDel="00000000" w:rsidP="00000000" w:rsidRDefault="00000000" w:rsidRPr="00000000" w14:paraId="000001FF">
      <w:pPr>
        <w:jc w:val="both"/>
        <w:rPr>
          <w:i w:val="1"/>
          <w:color w:val="000000"/>
        </w:rPr>
      </w:pPr>
      <w:r w:rsidDel="00000000" w:rsidR="00000000" w:rsidRPr="00000000">
        <w:rPr>
          <w:i w:val="1"/>
          <w:color w:val="000000"/>
          <w:rtl w:val="0"/>
        </w:rPr>
        <w:t xml:space="preserve">Keywords: Burmese hare, Southeast Asia, Thailand, Neolithic, palaeoecological indicator.</w:t>
      </w:r>
    </w:p>
    <w:p w:rsidR="00000000" w:rsidDel="00000000" w:rsidP="00000000" w:rsidRDefault="00000000" w:rsidRPr="00000000" w14:paraId="00000200">
      <w:pPr>
        <w:jc w:val="both"/>
        <w:rPr>
          <w:color w:val="000000"/>
        </w:rPr>
      </w:pPr>
      <w:r w:rsidDel="00000000" w:rsidR="00000000" w:rsidRPr="00000000">
        <w:rPr>
          <w:rtl w:val="0"/>
        </w:rPr>
      </w:r>
    </w:p>
    <w:p w:rsidR="00000000" w:rsidDel="00000000" w:rsidP="00000000" w:rsidRDefault="00000000" w:rsidRPr="00000000" w14:paraId="00000201">
      <w:pPr>
        <w:jc w:val="both"/>
        <w:rPr>
          <w:color w:val="000000"/>
        </w:rPr>
      </w:pPr>
      <w:r w:rsidDel="00000000" w:rsidR="00000000" w:rsidRPr="00000000">
        <w:rPr>
          <w:rtl w:val="0"/>
        </w:rPr>
      </w:r>
    </w:p>
    <w:p w:rsidR="00000000" w:rsidDel="00000000" w:rsidP="00000000" w:rsidRDefault="00000000" w:rsidRPr="00000000" w14:paraId="00000202">
      <w:pPr>
        <w:jc w:val="both"/>
        <w:rPr>
          <w:b w:val="1"/>
        </w:rPr>
      </w:pPr>
      <w:r w:rsidDel="00000000" w:rsidR="00000000" w:rsidRPr="00000000">
        <w:rPr>
          <w:b w:val="1"/>
          <w:rtl w:val="0"/>
        </w:rPr>
        <w:t xml:space="preserve">Daniel Dalmas, Joan B. Coltrain, Matthew G. Hill</w:t>
      </w:r>
    </w:p>
    <w:p w:rsidR="00000000" w:rsidDel="00000000" w:rsidP="00000000" w:rsidRDefault="00000000" w:rsidRPr="00000000" w14:paraId="00000203">
      <w:pPr>
        <w:jc w:val="both"/>
        <w:rPr>
          <w:color w:val="000000"/>
          <w:sz w:val="20"/>
          <w:szCs w:val="20"/>
        </w:rPr>
      </w:pPr>
      <w:r w:rsidDel="00000000" w:rsidR="00000000" w:rsidRPr="00000000">
        <w:rPr>
          <w:color w:val="000000"/>
          <w:sz w:val="20"/>
          <w:szCs w:val="20"/>
          <w:rtl w:val="0"/>
        </w:rPr>
        <w:t xml:space="preserve">University of Utah, USA</w:t>
      </w:r>
    </w:p>
    <w:p w:rsidR="00000000" w:rsidDel="00000000" w:rsidP="00000000" w:rsidRDefault="00000000" w:rsidRPr="00000000" w14:paraId="00000204">
      <w:pPr>
        <w:jc w:val="both"/>
        <w:rPr>
          <w:color w:val="000000"/>
        </w:rPr>
      </w:pPr>
      <w:r w:rsidDel="00000000" w:rsidR="00000000" w:rsidRPr="00000000">
        <w:rPr>
          <w:rtl w:val="0"/>
        </w:rPr>
      </w:r>
    </w:p>
    <w:p w:rsidR="00000000" w:rsidDel="00000000" w:rsidP="00000000" w:rsidRDefault="00000000" w:rsidRPr="00000000" w14:paraId="00000205">
      <w:pPr>
        <w:jc w:val="both"/>
        <w:rPr>
          <w:i w:val="1"/>
          <w:color w:val="000000"/>
          <w:u w:val="single"/>
        </w:rPr>
      </w:pPr>
      <w:r w:rsidDel="00000000" w:rsidR="00000000" w:rsidRPr="00000000">
        <w:rPr>
          <w:i w:val="1"/>
          <w:color w:val="000000"/>
          <w:u w:val="single"/>
          <w:rtl w:val="0"/>
        </w:rPr>
        <w:t xml:space="preserve">Carbon Isotope Variation in Bison Bone from a Great Plains Riverbed Accumulation, United States</w:t>
      </w:r>
    </w:p>
    <w:p w:rsidR="00000000" w:rsidDel="00000000" w:rsidP="00000000" w:rsidRDefault="00000000" w:rsidRPr="00000000" w14:paraId="00000206">
      <w:pPr>
        <w:jc w:val="both"/>
        <w:rPr>
          <w:color w:val="000000"/>
        </w:rPr>
      </w:pPr>
      <w:r w:rsidDel="00000000" w:rsidR="00000000" w:rsidRPr="00000000">
        <w:rPr>
          <w:color w:val="000000"/>
          <w:rtl w:val="0"/>
        </w:rPr>
        <w:t xml:space="preserve">Holocene diminution in North American Bison (Bison bison) has generally been attributed to changes in forage quality across the American Great Plains. However, direct tests demonstrating the relationship between body size and C4 abundance in bison diet are minimal. A sample of 315 large mammal elements, including 50 bison radii, were collected in 2008 from a river in Western Iowa, after a major flood. The radii were measured and sampled for stable isotope analysis and provided δ13C values ranging from -9 to -23 across 37 of the 50 radii. By coupling tight temporal control using radiocarbon analysis with stable carbon isotopes we can assess if: C4 abundance was variable in bison diets at one point in time, or if the abundance of C4 grasses in the diet changed through time. We will then compare the measurements of bison elements, while controlling for sex, with the dates and stable isotopes to identify a diminution signal. These results will aid in the continued discussion of forage quality and bison diminution on the Great Plains.</w:t>
      </w:r>
    </w:p>
    <w:p w:rsidR="00000000" w:rsidDel="00000000" w:rsidP="00000000" w:rsidRDefault="00000000" w:rsidRPr="00000000" w14:paraId="00000207">
      <w:pPr>
        <w:jc w:val="both"/>
        <w:rPr>
          <w:i w:val="1"/>
          <w:color w:val="000000"/>
        </w:rPr>
      </w:pPr>
      <w:r w:rsidDel="00000000" w:rsidR="00000000" w:rsidRPr="00000000">
        <w:rPr>
          <w:i w:val="1"/>
          <w:color w:val="000000"/>
          <w:rtl w:val="0"/>
        </w:rPr>
        <w:t xml:space="preserve">Keywords: Great Plains, Zooarchaeology, American bison, diminution, carbon isotopes.</w:t>
      </w:r>
    </w:p>
    <w:p w:rsidR="00000000" w:rsidDel="00000000" w:rsidP="00000000" w:rsidRDefault="00000000" w:rsidRPr="00000000" w14:paraId="00000208">
      <w:pPr>
        <w:jc w:val="both"/>
        <w:rPr>
          <w:b w:val="1"/>
        </w:rPr>
      </w:pPr>
      <w:r w:rsidDel="00000000" w:rsidR="00000000" w:rsidRPr="00000000">
        <w:rPr>
          <w:rtl w:val="0"/>
        </w:rPr>
      </w:r>
    </w:p>
    <w:p w:rsidR="00000000" w:rsidDel="00000000" w:rsidP="00000000" w:rsidRDefault="00000000" w:rsidRPr="00000000" w14:paraId="00000209">
      <w:pPr>
        <w:jc w:val="both"/>
        <w:rPr>
          <w:b w:val="1"/>
        </w:rPr>
      </w:pPr>
      <w:r w:rsidDel="00000000" w:rsidR="00000000" w:rsidRPr="00000000">
        <w:rPr>
          <w:rtl w:val="0"/>
        </w:rPr>
      </w:r>
    </w:p>
    <w:p w:rsidR="00000000" w:rsidDel="00000000" w:rsidP="00000000" w:rsidRDefault="00000000" w:rsidRPr="00000000" w14:paraId="0000020A">
      <w:pPr>
        <w:jc w:val="both"/>
        <w:rPr>
          <w:b w:val="1"/>
        </w:rPr>
      </w:pPr>
      <w:r w:rsidDel="00000000" w:rsidR="00000000" w:rsidRPr="00000000">
        <w:rPr>
          <w:b w:val="1"/>
          <w:rtl w:val="0"/>
        </w:rPr>
        <w:t xml:space="preserve">Mónica Fernández-García1, Ana Belén Marín-Arroyo1, Sarah Pederzani2,3, Kate Britton3,4</w:t>
      </w:r>
    </w:p>
    <w:p w:rsidR="00000000" w:rsidDel="00000000" w:rsidP="00000000" w:rsidRDefault="00000000" w:rsidRPr="00000000" w14:paraId="0000020B">
      <w:pPr>
        <w:jc w:val="both"/>
        <w:rPr>
          <w:sz w:val="20"/>
          <w:szCs w:val="20"/>
        </w:rPr>
      </w:pPr>
      <w:r w:rsidDel="00000000" w:rsidR="00000000" w:rsidRPr="00000000">
        <w:rPr>
          <w:sz w:val="20"/>
          <w:szCs w:val="20"/>
          <w:rtl w:val="0"/>
        </w:rPr>
        <w:t xml:space="preserve">1 Grupo de I+D+i EVOADAPTA (Evolución Humana y durante la Prehistoria). Dpto. Ciencias Históricas, Universidad de Cantabria, Av. Los Castros 44, 39005, Santander, Spain</w:t>
      </w:r>
    </w:p>
    <w:p w:rsidR="00000000" w:rsidDel="00000000" w:rsidP="00000000" w:rsidRDefault="00000000" w:rsidRPr="00000000" w14:paraId="0000020C">
      <w:pPr>
        <w:jc w:val="both"/>
        <w:rPr>
          <w:sz w:val="20"/>
          <w:szCs w:val="20"/>
        </w:rPr>
      </w:pPr>
      <w:r w:rsidDel="00000000" w:rsidR="00000000" w:rsidRPr="00000000">
        <w:rPr>
          <w:sz w:val="20"/>
          <w:szCs w:val="20"/>
          <w:rtl w:val="0"/>
        </w:rPr>
        <w:t xml:space="preserve">2 Instituto Universitario de Bio-Orgánica Antonio González, Universidad de La Laguna, Avda. Astrofísico Francisco Sánchez 2, 38206 La Laguna, Tenerife, Spain</w:t>
      </w:r>
    </w:p>
    <w:p w:rsidR="00000000" w:rsidDel="00000000" w:rsidP="00000000" w:rsidRDefault="00000000" w:rsidRPr="00000000" w14:paraId="0000020D">
      <w:pPr>
        <w:jc w:val="both"/>
        <w:rPr>
          <w:sz w:val="20"/>
          <w:szCs w:val="20"/>
        </w:rPr>
      </w:pPr>
      <w:r w:rsidDel="00000000" w:rsidR="00000000" w:rsidRPr="00000000">
        <w:rPr>
          <w:sz w:val="20"/>
          <w:szCs w:val="20"/>
          <w:rtl w:val="0"/>
        </w:rPr>
        <w:t xml:space="preserve">3 Department of Human Evolution, Max Planck Institute for Evolutionary Anthropology, 04103 Leipzig, Germany</w:t>
      </w:r>
    </w:p>
    <w:p w:rsidR="00000000" w:rsidDel="00000000" w:rsidP="00000000" w:rsidRDefault="00000000" w:rsidRPr="00000000" w14:paraId="0000020E">
      <w:pPr>
        <w:jc w:val="both"/>
        <w:rPr>
          <w:sz w:val="20"/>
          <w:szCs w:val="20"/>
        </w:rPr>
      </w:pPr>
      <w:r w:rsidDel="00000000" w:rsidR="00000000" w:rsidRPr="00000000">
        <w:rPr>
          <w:sz w:val="20"/>
          <w:szCs w:val="20"/>
          <w:rtl w:val="0"/>
        </w:rPr>
        <w:t xml:space="preserve">4 Department of Archaeology, University of Aberdeen, Aberdeen AB24 3UF, United Kingdom</w:t>
      </w:r>
    </w:p>
    <w:p w:rsidR="00000000" w:rsidDel="00000000" w:rsidP="00000000" w:rsidRDefault="00000000" w:rsidRPr="00000000" w14:paraId="0000020F">
      <w:pPr>
        <w:jc w:val="both"/>
        <w:rPr/>
      </w:pPr>
      <w:r w:rsidDel="00000000" w:rsidR="00000000" w:rsidRPr="00000000">
        <w:rPr>
          <w:rtl w:val="0"/>
        </w:rPr>
      </w:r>
    </w:p>
    <w:p w:rsidR="00000000" w:rsidDel="00000000" w:rsidP="00000000" w:rsidRDefault="00000000" w:rsidRPr="00000000" w14:paraId="00000210">
      <w:pPr>
        <w:jc w:val="both"/>
        <w:rPr>
          <w:i w:val="1"/>
          <w:u w:val="single"/>
        </w:rPr>
      </w:pPr>
      <w:r w:rsidDel="00000000" w:rsidR="00000000" w:rsidRPr="00000000">
        <w:rPr>
          <w:i w:val="1"/>
          <w:u w:val="single"/>
          <w:rtl w:val="0"/>
        </w:rPr>
        <w:t xml:space="preserve">Climatic inferences from δ18O and δ13C preserved in ungulates consumed by late Neanderthals and early modern humans in northern Iberia</w:t>
      </w:r>
    </w:p>
    <w:p w:rsidR="00000000" w:rsidDel="00000000" w:rsidP="00000000" w:rsidRDefault="00000000" w:rsidRPr="00000000" w14:paraId="00000211">
      <w:pPr>
        <w:jc w:val="both"/>
        <w:rPr/>
      </w:pPr>
      <w:r w:rsidDel="00000000" w:rsidR="00000000" w:rsidRPr="00000000">
        <w:rPr>
          <w:rtl w:val="0"/>
        </w:rPr>
        <w:t xml:space="preserve">Middle to Upper Palaeolithic transition has been commonly faced in environmental terms. However, paleoclimatic records have usually a limited resolution derived from the proxy itself or by the uncertainties related to the archaeological deposit. Then, it is needed to enlarge the knowledge of the climatic evolution on a regional scale to characterize human dynamics during the Late Glacial. Here we approach the climatic trends on northern Iberia considering the stable isotopic composition of ungulate body tissues coming from archaeological levels with reviewed radiocarbon dates. Carbon and oxygen isotope composition preserved in the carbonate fraction of tooth enamel provides a reliable and high-resolution proxy to food and water consumed by these animals and, indirectly, related to vegetation, environment, and climate; allowing to estimate possible temperatures and rainfall during this period. This study selected a total of 44 ungulate teeth from bovids, equids, and cervids, coming from 5 sites in the Cantabrian region (El Castillo, El Otero, Axlor, Labeko Koba, Aitzbitarte) and one in the Mediterranean area (Canyars). These archaeological sites record human evidence from the Mousterian to the Magdalenian, including two different human populations: Homo neanderthalensis and Homo sapiens. The carbon values obtained are typical of animals feeding on C3 plants, linked to a mix-feeder diet mainly developed in open environments. However, carbon ranges point to differentiated ecological niches for equids and bovids during the Aurignacian. Temperatures estimations based on oxygen composition as well as rainfall obtained from carbon composition indicate a worsening from the Late Mousterian to the Aurignacian. During this period, the Mediterranean site, compared to the Cantabrian region, shows basal higher temperatures but is also related to a significantly arid period. </w:t>
      </w:r>
    </w:p>
    <w:p w:rsidR="00000000" w:rsidDel="00000000" w:rsidP="00000000" w:rsidRDefault="00000000" w:rsidRPr="00000000" w14:paraId="00000212">
      <w:pPr>
        <w:jc w:val="both"/>
        <w:rPr>
          <w:i w:val="1"/>
        </w:rPr>
      </w:pPr>
      <w:r w:rsidDel="00000000" w:rsidR="00000000" w:rsidRPr="00000000">
        <w:rPr>
          <w:i w:val="1"/>
          <w:rtl w:val="0"/>
        </w:rPr>
        <w:t xml:space="preserve">Keywords: biochemistry, palaeoecology, enamel, Pleistocene, Middle Palaeolithic.</w:t>
      </w:r>
    </w:p>
    <w:p w:rsidR="00000000" w:rsidDel="00000000" w:rsidP="00000000" w:rsidRDefault="00000000" w:rsidRPr="00000000" w14:paraId="00000213">
      <w:pPr>
        <w:jc w:val="both"/>
        <w:rPr>
          <w:i w:val="1"/>
        </w:rPr>
      </w:pPr>
      <w:r w:rsidDel="00000000" w:rsidR="00000000" w:rsidRPr="00000000">
        <w:rPr>
          <w:rtl w:val="0"/>
        </w:rPr>
      </w:r>
    </w:p>
    <w:p w:rsidR="00000000" w:rsidDel="00000000" w:rsidP="00000000" w:rsidRDefault="00000000" w:rsidRPr="00000000" w14:paraId="00000214">
      <w:pPr>
        <w:jc w:val="both"/>
        <w:rPr>
          <w:b w:val="1"/>
        </w:rPr>
      </w:pPr>
      <w:r w:rsidDel="00000000" w:rsidR="00000000" w:rsidRPr="00000000">
        <w:rPr>
          <w:rtl w:val="0"/>
        </w:rPr>
      </w:r>
    </w:p>
    <w:p w:rsidR="00000000" w:rsidDel="00000000" w:rsidP="00000000" w:rsidRDefault="00000000" w:rsidRPr="00000000" w14:paraId="00000215">
      <w:pPr>
        <w:jc w:val="both"/>
        <w:rPr>
          <w:b w:val="1"/>
          <w:sz w:val="32"/>
          <w:szCs w:val="32"/>
        </w:rPr>
      </w:pPr>
      <w:r w:rsidDel="00000000" w:rsidR="00000000" w:rsidRPr="00000000">
        <w:rPr>
          <w:b w:val="1"/>
          <w:sz w:val="32"/>
          <w:szCs w:val="32"/>
          <w:rtl w:val="0"/>
        </w:rPr>
        <w:t xml:space="preserve">Posters</w:t>
      </w:r>
    </w:p>
    <w:p w:rsidR="00000000" w:rsidDel="00000000" w:rsidP="00000000" w:rsidRDefault="00000000" w:rsidRPr="00000000" w14:paraId="00000216">
      <w:pPr>
        <w:jc w:val="both"/>
        <w:rPr>
          <w:b w:val="1"/>
        </w:rPr>
      </w:pPr>
      <w:r w:rsidDel="00000000" w:rsidR="00000000" w:rsidRPr="00000000">
        <w:rPr>
          <w:rtl w:val="0"/>
        </w:rPr>
      </w:r>
    </w:p>
    <w:p w:rsidR="00000000" w:rsidDel="00000000" w:rsidP="00000000" w:rsidRDefault="00000000" w:rsidRPr="00000000" w14:paraId="00000217">
      <w:pPr>
        <w:rPr>
          <w:b w:val="1"/>
        </w:rPr>
      </w:pPr>
      <w:r w:rsidDel="00000000" w:rsidR="00000000" w:rsidRPr="00000000">
        <w:rPr>
          <w:b w:val="1"/>
          <w:rtl w:val="0"/>
        </w:rPr>
        <w:t xml:space="preserve">Magdalena Krajcarz1, Maciej T. Krajcarz2, Hervé Bocherens 1,3</w:t>
      </w:r>
    </w:p>
    <w:p w:rsidR="00000000" w:rsidDel="00000000" w:rsidP="00000000" w:rsidRDefault="00000000" w:rsidRPr="00000000" w14:paraId="00000218">
      <w:pPr>
        <w:jc w:val="both"/>
        <w:rPr>
          <w:sz w:val="20"/>
          <w:szCs w:val="20"/>
        </w:rPr>
      </w:pPr>
      <w:r w:rsidDel="00000000" w:rsidR="00000000" w:rsidRPr="00000000">
        <w:rPr>
          <w:sz w:val="20"/>
          <w:szCs w:val="20"/>
          <w:rtl w:val="0"/>
        </w:rPr>
        <w:t xml:space="preserve">1Department of Geosciences, University of Tübingen, Germany</w:t>
      </w:r>
    </w:p>
    <w:p w:rsidR="00000000" w:rsidDel="00000000" w:rsidP="00000000" w:rsidRDefault="00000000" w:rsidRPr="00000000" w14:paraId="00000219">
      <w:pPr>
        <w:jc w:val="both"/>
        <w:rPr>
          <w:sz w:val="20"/>
          <w:szCs w:val="20"/>
        </w:rPr>
      </w:pPr>
      <w:r w:rsidDel="00000000" w:rsidR="00000000" w:rsidRPr="00000000">
        <w:rPr>
          <w:sz w:val="20"/>
          <w:szCs w:val="20"/>
          <w:rtl w:val="0"/>
        </w:rPr>
        <w:t xml:space="preserve">2Institute of Geological Sciences, Polish Academy of Sciences, Warsaw, Poland</w:t>
      </w:r>
    </w:p>
    <w:p w:rsidR="00000000" w:rsidDel="00000000" w:rsidP="00000000" w:rsidRDefault="00000000" w:rsidRPr="00000000" w14:paraId="0000021A">
      <w:pPr>
        <w:jc w:val="both"/>
        <w:rPr>
          <w:sz w:val="20"/>
          <w:szCs w:val="20"/>
        </w:rPr>
      </w:pPr>
      <w:r w:rsidDel="00000000" w:rsidR="00000000" w:rsidRPr="00000000">
        <w:rPr>
          <w:sz w:val="20"/>
          <w:szCs w:val="20"/>
          <w:rtl w:val="0"/>
        </w:rPr>
        <w:t xml:space="preserve">3Senckenberg Centre for Human Evolution and Palaeoenvironment, Tübingen, Germany</w:t>
      </w:r>
    </w:p>
    <w:p w:rsidR="00000000" w:rsidDel="00000000" w:rsidP="00000000" w:rsidRDefault="00000000" w:rsidRPr="00000000" w14:paraId="0000021B">
      <w:pPr>
        <w:jc w:val="both"/>
        <w:rPr/>
      </w:pPr>
      <w:r w:rsidDel="00000000" w:rsidR="00000000" w:rsidRPr="00000000">
        <w:rPr>
          <w:rtl w:val="0"/>
        </w:rPr>
      </w:r>
    </w:p>
    <w:p w:rsidR="00000000" w:rsidDel="00000000" w:rsidP="00000000" w:rsidRDefault="00000000" w:rsidRPr="00000000" w14:paraId="0000021C">
      <w:pPr>
        <w:jc w:val="both"/>
        <w:rPr>
          <w:i w:val="1"/>
          <w:u w:val="single"/>
        </w:rPr>
      </w:pPr>
      <w:r w:rsidDel="00000000" w:rsidR="00000000" w:rsidRPr="00000000">
        <w:rPr>
          <w:i w:val="1"/>
          <w:u w:val="single"/>
          <w:rtl w:val="0"/>
        </w:rPr>
        <w:t xml:space="preserve">The IsoTroph project – Advanced techniques in isotopic biogeochemistry for the estimation of fossil mammal trophic position</w:t>
      </w:r>
    </w:p>
    <w:p w:rsidR="00000000" w:rsidDel="00000000" w:rsidP="00000000" w:rsidRDefault="00000000" w:rsidRPr="00000000" w14:paraId="0000021D">
      <w:pPr>
        <w:jc w:val="both"/>
        <w:rPr>
          <w:color w:val="000000"/>
        </w:rPr>
      </w:pPr>
      <w:r w:rsidDel="00000000" w:rsidR="00000000" w:rsidRPr="00000000">
        <w:rPr>
          <w:color w:val="000000"/>
          <w:rtl w:val="0"/>
        </w:rPr>
        <w:t xml:space="preserve">One of the applications of stable isotopes in paleoecology is estimation of the trophic position of an animal or human. The most important element here is nitrogen, as it undergoes relatively strong fractionation and δ15N increases along a trophic chain. However, the bulk collagen δ15N analysis has several limitations in the interpretation of trophic relationships. The development of mass spectrometry and isolation techniques during the last decade allow measuring the δ15N in individual amino acids, isolated from fossil collagen. This allows much detailed quantifying of the individual’s trophic position. The principal parameter is the Glu-Phe trophic discrimination factor (TDF) that represents a difference in δ15N between glutamic acid and phenylalanine. It is a constant used in equations to calculate a quantitative trophic level of an individual. The objective of the new IsoTroph project, implemented at the University of Tübingen, is to improve the method by better approximation of the TDF. This is to be obtained by the analysis of δ15N in Glu and Phe of a predator population and that of its prey. To achieve this, the project will involve a study of modern populations (collections of recent bones of wolf, lynx, red fox, and their prey), as well as a collection of fossils from a Pleistocene carnivore den (cave hyena and its prey). These collections will provide insight into four species of mammalian carnivores representing variable ecology (both hypercarnivores and omnivores) and different chronology (recent and Pleistocene). Project is funded by the European Union’s Horizon 2020 research and innovation programme under the Marie Sklodowska-Curie grant agreement No 101023317.</w:t>
      </w:r>
    </w:p>
    <w:p w:rsidR="00000000" w:rsidDel="00000000" w:rsidP="00000000" w:rsidRDefault="00000000" w:rsidRPr="00000000" w14:paraId="0000021E">
      <w:pPr>
        <w:jc w:val="both"/>
        <w:rPr>
          <w:i w:val="1"/>
        </w:rPr>
      </w:pPr>
      <w:r w:rsidDel="00000000" w:rsidR="00000000" w:rsidRPr="00000000">
        <w:rPr>
          <w:i w:val="1"/>
          <w:rtl w:val="0"/>
        </w:rPr>
        <w:t xml:space="preserve">Keywords: collagen, amino acids, single compounds, trophic position, methodology.</w:t>
      </w:r>
    </w:p>
    <w:p w:rsidR="00000000" w:rsidDel="00000000" w:rsidP="00000000" w:rsidRDefault="00000000" w:rsidRPr="00000000" w14:paraId="0000021F">
      <w:pPr>
        <w:jc w:val="both"/>
        <w:rPr>
          <w:i w:val="1"/>
        </w:rPr>
      </w:pPr>
      <w:r w:rsidDel="00000000" w:rsidR="00000000" w:rsidRPr="00000000">
        <w:rPr>
          <w:rtl w:val="0"/>
        </w:rPr>
      </w:r>
    </w:p>
    <w:p w:rsidR="00000000" w:rsidDel="00000000" w:rsidP="00000000" w:rsidRDefault="00000000" w:rsidRPr="00000000" w14:paraId="00000220">
      <w:pPr>
        <w:jc w:val="both"/>
        <w:rPr>
          <w:b w:val="1"/>
        </w:rPr>
      </w:pPr>
      <w:r w:rsidDel="00000000" w:rsidR="00000000" w:rsidRPr="00000000">
        <w:rPr>
          <w:b w:val="1"/>
          <w:rtl w:val="0"/>
        </w:rPr>
        <w:t xml:space="preserve">Juliette Waterman1, Stuart Black1, Naomi Sykes2, Mark Fellowes1</w:t>
      </w:r>
    </w:p>
    <w:p w:rsidR="00000000" w:rsidDel="00000000" w:rsidP="00000000" w:rsidRDefault="00000000" w:rsidRPr="00000000" w14:paraId="00000221">
      <w:pPr>
        <w:jc w:val="both"/>
        <w:rPr>
          <w:color w:val="000000"/>
          <w:sz w:val="20"/>
          <w:szCs w:val="20"/>
        </w:rPr>
      </w:pPr>
      <w:r w:rsidDel="00000000" w:rsidR="00000000" w:rsidRPr="00000000">
        <w:rPr>
          <w:color w:val="000000"/>
          <w:sz w:val="20"/>
          <w:szCs w:val="20"/>
          <w:rtl w:val="0"/>
        </w:rPr>
        <w:t xml:space="preserve">1University of Reading, United Kingdom</w:t>
      </w:r>
    </w:p>
    <w:p w:rsidR="00000000" w:rsidDel="00000000" w:rsidP="00000000" w:rsidRDefault="00000000" w:rsidRPr="00000000" w14:paraId="00000222">
      <w:pPr>
        <w:jc w:val="both"/>
        <w:rPr>
          <w:color w:val="000000"/>
          <w:sz w:val="20"/>
          <w:szCs w:val="20"/>
        </w:rPr>
      </w:pPr>
      <w:r w:rsidDel="00000000" w:rsidR="00000000" w:rsidRPr="00000000">
        <w:rPr>
          <w:color w:val="000000"/>
          <w:sz w:val="20"/>
          <w:szCs w:val="20"/>
          <w:rtl w:val="0"/>
        </w:rPr>
        <w:t xml:space="preserve">2University of Exeter, United Kingdom</w:t>
      </w:r>
    </w:p>
    <w:p w:rsidR="00000000" w:rsidDel="00000000" w:rsidP="00000000" w:rsidRDefault="00000000" w:rsidRPr="00000000" w14:paraId="00000223">
      <w:pPr>
        <w:jc w:val="both"/>
        <w:rPr>
          <w:color w:val="000000"/>
        </w:rPr>
      </w:pPr>
      <w:r w:rsidDel="00000000" w:rsidR="00000000" w:rsidRPr="00000000">
        <w:rPr>
          <w:rtl w:val="0"/>
        </w:rPr>
      </w:r>
    </w:p>
    <w:p w:rsidR="00000000" w:rsidDel="00000000" w:rsidP="00000000" w:rsidRDefault="00000000" w:rsidRPr="00000000" w14:paraId="00000224">
      <w:pPr>
        <w:jc w:val="both"/>
        <w:rPr>
          <w:i w:val="1"/>
          <w:color w:val="000000"/>
          <w:u w:val="single"/>
        </w:rPr>
      </w:pPr>
      <w:r w:rsidDel="00000000" w:rsidR="00000000" w:rsidRPr="00000000">
        <w:rPr>
          <w:i w:val="1"/>
          <w:color w:val="000000"/>
          <w:u w:val="single"/>
          <w:rtl w:val="0"/>
        </w:rPr>
        <w:t xml:space="preserve">Ancient eagles: the first dietary stable isotope data and a radiocarbon date for an archaeological eagle from Fishbourne Roman Palace</w:t>
      </w:r>
    </w:p>
    <w:p w:rsidR="00000000" w:rsidDel="00000000" w:rsidP="00000000" w:rsidRDefault="00000000" w:rsidRPr="00000000" w14:paraId="00000225">
      <w:pPr>
        <w:jc w:val="both"/>
        <w:rPr>
          <w:color w:val="000000"/>
        </w:rPr>
      </w:pPr>
      <w:r w:rsidDel="00000000" w:rsidR="00000000" w:rsidRPr="00000000">
        <w:rPr>
          <w:color w:val="000000"/>
          <w:rtl w:val="0"/>
        </w:rPr>
        <w:t xml:space="preserve">The white-tailed eagle (Haliaeetus albicilla) currently holds a tenuous and constrained range in the UK following its recent reintroduction after a century of absence. However, historical and archaeological evidence suggests it could have been a more familiar sight to ancient Britons, where its opportunistic scavenging niche may have brought it close to human settlements. At Roman Fishbourne Palace a partial eagle radius was recovered from the courtyard garden of the villa complex. A radiocarbon date between 47 BC and AD 213 (95.4% probability) places the eagle in the phase before the Palace’s destruction by fire in AD 270. Additionally, stable isotope analysis of the eagle reveals it had a highly marine-focused diet with a δ13C value of -17.8‰ and δ15N at 13.8‰. This suggests the Roman eagle was a wild bird and likely not feeding on significant quantities of human food sources associated with the settlement, such as livestock or butchery waste. A comparative sample (n=6) of bone collagen analysed from modern white-tailed eagles from the Scottish reintroduction project showed a more terrestrial diet (mean -23.9‰ for δ13C and 10.9‰ for δ15N), possibly associated with anthropogenic food sources including sheep carrion and gamebirds.</w:t>
      </w:r>
    </w:p>
    <w:p w:rsidR="00000000" w:rsidDel="00000000" w:rsidP="00000000" w:rsidRDefault="00000000" w:rsidRPr="00000000" w14:paraId="00000226">
      <w:pPr>
        <w:jc w:val="both"/>
        <w:rPr>
          <w:i w:val="1"/>
          <w:color w:val="000000"/>
        </w:rPr>
      </w:pPr>
      <w:r w:rsidDel="00000000" w:rsidR="00000000" w:rsidRPr="00000000">
        <w:rPr>
          <w:i w:val="1"/>
          <w:color w:val="000000"/>
          <w:rtl w:val="0"/>
        </w:rPr>
        <w:t xml:space="preserve">Keywords: raptors, white-tailed eagles, Roman, wild birds.</w:t>
      </w:r>
    </w:p>
    <w:p w:rsidR="00000000" w:rsidDel="00000000" w:rsidP="00000000" w:rsidRDefault="00000000" w:rsidRPr="00000000" w14:paraId="00000227">
      <w:pPr>
        <w:jc w:val="both"/>
        <w:rPr>
          <w:color w:val="000000"/>
        </w:rPr>
      </w:pPr>
      <w:r w:rsidDel="00000000" w:rsidR="00000000" w:rsidRPr="00000000">
        <w:rPr>
          <w:rtl w:val="0"/>
        </w:rPr>
      </w:r>
    </w:p>
    <w:p w:rsidR="00000000" w:rsidDel="00000000" w:rsidP="00000000" w:rsidRDefault="00000000" w:rsidRPr="00000000" w14:paraId="00000228">
      <w:pPr>
        <w:jc w:val="both"/>
        <w:rPr>
          <w:color w:val="000000"/>
        </w:rPr>
      </w:pPr>
      <w:r w:rsidDel="00000000" w:rsidR="00000000" w:rsidRPr="00000000">
        <w:rPr>
          <w:rtl w:val="0"/>
        </w:rPr>
      </w:r>
    </w:p>
    <w:p w:rsidR="00000000" w:rsidDel="00000000" w:rsidP="00000000" w:rsidRDefault="00000000" w:rsidRPr="00000000" w14:paraId="00000229">
      <w:pPr>
        <w:jc w:val="both"/>
        <w:rPr>
          <w:b w:val="1"/>
        </w:rPr>
      </w:pPr>
      <w:r w:rsidDel="00000000" w:rsidR="00000000" w:rsidRPr="00000000">
        <w:rPr>
          <w:b w:val="1"/>
          <w:rtl w:val="0"/>
        </w:rPr>
        <w:t xml:space="preserve">Mariya Antonosyan1, Satenik Mkrtchyan2, Levon Yepiskoposyan2, Patrick Roberts1, Noel Amano1</w:t>
      </w:r>
    </w:p>
    <w:p w:rsidR="00000000" w:rsidDel="00000000" w:rsidP="00000000" w:rsidRDefault="00000000" w:rsidRPr="00000000" w14:paraId="0000022A">
      <w:pPr>
        <w:jc w:val="both"/>
        <w:rPr>
          <w:color w:val="000000"/>
          <w:sz w:val="20"/>
          <w:szCs w:val="20"/>
        </w:rPr>
      </w:pPr>
      <w:r w:rsidDel="00000000" w:rsidR="00000000" w:rsidRPr="00000000">
        <w:rPr>
          <w:color w:val="000000"/>
          <w:sz w:val="20"/>
          <w:szCs w:val="20"/>
          <w:rtl w:val="0"/>
        </w:rPr>
        <w:t xml:space="preserve">1Max Planck Institute of Geoanthropology</w:t>
      </w:r>
    </w:p>
    <w:p w:rsidR="00000000" w:rsidDel="00000000" w:rsidP="00000000" w:rsidRDefault="00000000" w:rsidRPr="00000000" w14:paraId="0000022B">
      <w:pPr>
        <w:jc w:val="both"/>
        <w:rPr>
          <w:color w:val="000000"/>
          <w:sz w:val="20"/>
          <w:szCs w:val="20"/>
        </w:rPr>
      </w:pPr>
      <w:r w:rsidDel="00000000" w:rsidR="00000000" w:rsidRPr="00000000">
        <w:rPr>
          <w:color w:val="000000"/>
          <w:sz w:val="20"/>
          <w:szCs w:val="20"/>
          <w:rtl w:val="0"/>
        </w:rPr>
        <w:t xml:space="preserve">2Institute of Molecular Biology, Armenia</w:t>
      </w:r>
    </w:p>
    <w:p w:rsidR="00000000" w:rsidDel="00000000" w:rsidP="00000000" w:rsidRDefault="00000000" w:rsidRPr="00000000" w14:paraId="0000022C">
      <w:pPr>
        <w:jc w:val="both"/>
        <w:rPr>
          <w:color w:val="000000"/>
        </w:rPr>
      </w:pPr>
      <w:r w:rsidDel="00000000" w:rsidR="00000000" w:rsidRPr="00000000">
        <w:rPr>
          <w:rtl w:val="0"/>
        </w:rPr>
      </w:r>
    </w:p>
    <w:p w:rsidR="00000000" w:rsidDel="00000000" w:rsidP="00000000" w:rsidRDefault="00000000" w:rsidRPr="00000000" w14:paraId="0000022D">
      <w:pPr>
        <w:jc w:val="both"/>
        <w:rPr>
          <w:i w:val="1"/>
          <w:color w:val="000000"/>
          <w:u w:val="single"/>
        </w:rPr>
      </w:pPr>
      <w:r w:rsidDel="00000000" w:rsidR="00000000" w:rsidRPr="00000000">
        <w:rPr>
          <w:i w:val="1"/>
          <w:color w:val="000000"/>
          <w:u w:val="single"/>
          <w:rtl w:val="0"/>
        </w:rPr>
        <w:t xml:space="preserve">Multiproxy Evidence Late Pleistocene environment in the South Caucasus</w:t>
      </w:r>
    </w:p>
    <w:p w:rsidR="00000000" w:rsidDel="00000000" w:rsidP="00000000" w:rsidRDefault="00000000" w:rsidRPr="00000000" w14:paraId="0000022E">
      <w:pPr>
        <w:jc w:val="both"/>
        <w:rPr>
          <w:color w:val="000000"/>
        </w:rPr>
      </w:pPr>
      <w:r w:rsidDel="00000000" w:rsidR="00000000" w:rsidRPr="00000000">
        <w:rPr>
          <w:color w:val="000000"/>
          <w:rtl w:val="0"/>
        </w:rPr>
        <w:t xml:space="preserve">It is generally acknowledged that the distribution and population density of many taxa have expanded and contracted in tandem with glacial-interglacial cycles throughout the Quaternary. These fluctuations have led to ecological restructuring, species redistribution, and extinctions that shaped the current environment. Fossil records, as well as a large body of biogeographical data, suggest that most of the warm adapted biota, persisted through glacial maxima in temperate refugia. In Europe, for example, the Mediterranean peninsulas are traditionally considered as major refugial areas, however, the knowledge on other plausible southern refugia remains limited. Being climatically buffered by the Caucasus Mountains, and benefiting from the ameliorating effects of the Black and Caspian Seas, the South Caucasus was suggested to serve as such a biogeographical refugium throughout the Late Pleistocene. Although the human occupation history of the region is now actively being explored scientifically, the complete picture characterizing human ecological adaptation, faunal dynamics as well as the climatic background of the region remain largely unexamined. To bridge this gap, we examined biostratigraphic changes in the Late Pleistocene Karin Tak cave, South Caucasus, by looking at the taxonomic composition of faunal assemblage using traditional zooarchaeological approaches and novel molecular methods of faunal identification including the use of collagen fingerprinting and aDNA metabarcoding. Father, to zoom into environmental conditions of the region we applied stable carbon and oxygen isotope analyses to faunal tooth enamel dated between ca. 48 and 22 kya. Overall, the obtained results allow us to suggest that cold and arid MIS 2 conditions did not cause a dramatic change in regional environment, and during that time the cave was close to the boundary between arid subtropical and humid climate regions (with the latter supporting forests), a pattern similar to the present environment of the site, thus supporting the refugium hypothesis for the region.</w:t>
      </w:r>
    </w:p>
    <w:p w:rsidR="00000000" w:rsidDel="00000000" w:rsidP="00000000" w:rsidRDefault="00000000" w:rsidRPr="00000000" w14:paraId="0000022F">
      <w:pPr>
        <w:jc w:val="both"/>
        <w:rPr>
          <w:i w:val="1"/>
          <w:color w:val="000000"/>
        </w:rPr>
      </w:pPr>
      <w:r w:rsidDel="00000000" w:rsidR="00000000" w:rsidRPr="00000000">
        <w:rPr>
          <w:i w:val="1"/>
          <w:color w:val="000000"/>
          <w:rtl w:val="0"/>
        </w:rPr>
        <w:t xml:space="preserve">Keywords: Late Pleistocene, South Caucasus, Palaeoenvironment, ZooMS, aDNA, Stable Isotopes.</w:t>
      </w:r>
    </w:p>
    <w:p w:rsidR="00000000" w:rsidDel="00000000" w:rsidP="00000000" w:rsidRDefault="00000000" w:rsidRPr="00000000" w14:paraId="00000230">
      <w:pPr>
        <w:jc w:val="both"/>
        <w:rPr>
          <w:color w:val="000000"/>
        </w:rPr>
      </w:pPr>
      <w:r w:rsidDel="00000000" w:rsidR="00000000" w:rsidRPr="00000000">
        <w:rPr>
          <w:rtl w:val="0"/>
        </w:rPr>
      </w:r>
    </w:p>
    <w:p w:rsidR="00000000" w:rsidDel="00000000" w:rsidP="00000000" w:rsidRDefault="00000000" w:rsidRPr="00000000" w14:paraId="00000231">
      <w:pPr>
        <w:jc w:val="both"/>
        <w:rPr>
          <w:color w:val="000000"/>
        </w:rPr>
      </w:pPr>
      <w:r w:rsidDel="00000000" w:rsidR="00000000" w:rsidRPr="00000000">
        <w:rPr>
          <w:rtl w:val="0"/>
        </w:rPr>
      </w:r>
    </w:p>
    <w:p w:rsidR="00000000" w:rsidDel="00000000" w:rsidP="00000000" w:rsidRDefault="00000000" w:rsidRPr="00000000" w14:paraId="00000232">
      <w:pPr>
        <w:jc w:val="both"/>
        <w:rPr>
          <w:b w:val="1"/>
        </w:rPr>
      </w:pPr>
      <w:r w:rsidDel="00000000" w:rsidR="00000000" w:rsidRPr="00000000">
        <w:rPr>
          <w:b w:val="1"/>
          <w:rtl w:val="0"/>
        </w:rPr>
        <w:t xml:space="preserve">Chris Baumann</w:t>
      </w:r>
    </w:p>
    <w:p w:rsidR="00000000" w:rsidDel="00000000" w:rsidP="00000000" w:rsidRDefault="00000000" w:rsidRPr="00000000" w14:paraId="00000233">
      <w:pPr>
        <w:jc w:val="both"/>
        <w:rPr>
          <w:sz w:val="20"/>
          <w:szCs w:val="20"/>
        </w:rPr>
      </w:pPr>
      <w:r w:rsidDel="00000000" w:rsidR="00000000" w:rsidRPr="00000000">
        <w:rPr>
          <w:sz w:val="20"/>
          <w:szCs w:val="20"/>
          <w:rtl w:val="0"/>
        </w:rPr>
        <w:t xml:space="preserve">Department of Geosciences and Geography, University of Helsinki, Finland</w:t>
      </w:r>
    </w:p>
    <w:p w:rsidR="00000000" w:rsidDel="00000000" w:rsidP="00000000" w:rsidRDefault="00000000" w:rsidRPr="00000000" w14:paraId="00000234">
      <w:pPr>
        <w:jc w:val="both"/>
        <w:rPr>
          <w:i w:val="1"/>
        </w:rPr>
      </w:pPr>
      <w:bookmarkStart w:colFirst="0" w:colLast="0" w:name="_heading=h.gjdgxs" w:id="0"/>
      <w:bookmarkEnd w:id="0"/>
      <w:r w:rsidDel="00000000" w:rsidR="00000000" w:rsidRPr="00000000">
        <w:rPr>
          <w:rtl w:val="0"/>
        </w:rPr>
      </w:r>
    </w:p>
    <w:p w:rsidR="00000000" w:rsidDel="00000000" w:rsidP="00000000" w:rsidRDefault="00000000" w:rsidRPr="00000000" w14:paraId="00000235">
      <w:pPr>
        <w:rPr>
          <w:b w:val="1"/>
          <w:i w:val="1"/>
          <w:color w:val="212121"/>
          <w:highlight w:val="white"/>
          <w:u w:val="single"/>
        </w:rPr>
      </w:pPr>
      <w:bookmarkStart w:colFirst="0" w:colLast="0" w:name="_heading=h.uc592o1t4pf4" w:id="1"/>
      <w:bookmarkEnd w:id="1"/>
      <w:r w:rsidDel="00000000" w:rsidR="00000000" w:rsidRPr="00000000">
        <w:rPr>
          <w:i w:val="1"/>
          <w:color w:val="212121"/>
          <w:highlight w:val="white"/>
          <w:u w:val="single"/>
          <w:rtl w:val="0"/>
        </w:rPr>
        <w:t xml:space="preserve">First evidence for synanthropic behavior in Late Pleistocene ravens</w:t>
      </w:r>
      <w:r w:rsidDel="00000000" w:rsidR="00000000" w:rsidRPr="00000000">
        <w:rPr>
          <w:rtl w:val="0"/>
        </w:rPr>
      </w:r>
    </w:p>
    <w:p w:rsidR="00000000" w:rsidDel="00000000" w:rsidP="00000000" w:rsidRDefault="00000000" w:rsidRPr="00000000" w14:paraId="00000236">
      <w:pPr>
        <w:jc w:val="both"/>
        <w:rPr/>
      </w:pPr>
      <w:r w:rsidDel="00000000" w:rsidR="00000000" w:rsidRPr="00000000">
        <w:rPr>
          <w:rtl w:val="0"/>
        </w:rPr>
        <w:t xml:space="preserve">The Early Gravettian of Southern Moravia – the Pavlovian – is notable for its mammoth-rich faunal assemblages but also for a high number of common ravens (Corvus corax) remains. Why so many ravens were found in this region and whether they were exploited by humans is unclear from an archaeological perspective, as there is no direct evidence such as cut marks or burned bones. In my presentation, I report newly published δ15N, δ13C and δ34S isotope data obtained from twelve adult common ravens from the Pavlovian key sites of Předmostí I, Pavlov I and Dolní Věstonice I. We indicate in our study two groups of ravens with distinct dietary profiles and argue that these opportunistic-generalist feeders were both attracted from adjacent regions and encouraged locally through human activity. These data provide the earliest direct evidence for incipient synanthropism among Upper Palaeolithic ravens. We suggest that subtle anthropogenic ecosystem engineering, including carrion supply dynamics, furnishes unique contexts for the emergence of synanthropism, affirming deep-historical roots in Late Pleistocene hunter-gatherer contexts. The coalescence of synanthropic niches can promote novel foraging opportunities and human-environment feedback dynamics and is thus important for understanding early human ecosystem impacts.</w:t>
      </w:r>
    </w:p>
    <w:p w:rsidR="00000000" w:rsidDel="00000000" w:rsidP="00000000" w:rsidRDefault="00000000" w:rsidRPr="00000000" w14:paraId="00000237">
      <w:pPr>
        <w:jc w:val="both"/>
        <w:rPr>
          <w:i w:val="1"/>
        </w:rPr>
      </w:pPr>
      <w:r w:rsidDel="00000000" w:rsidR="00000000" w:rsidRPr="00000000">
        <w:rPr>
          <w:i w:val="1"/>
          <w:rtl w:val="0"/>
        </w:rPr>
        <w:t xml:space="preserve">Keywords: Synanthropic behavior, raven, trophic niche, commensalism.</w:t>
      </w:r>
    </w:p>
    <w:p w:rsidR="00000000" w:rsidDel="00000000" w:rsidP="00000000" w:rsidRDefault="00000000" w:rsidRPr="00000000" w14:paraId="00000238">
      <w:pPr>
        <w:jc w:val="both"/>
        <w:rPr>
          <w:color w:val="000000"/>
        </w:rPr>
      </w:pPr>
      <w:r w:rsidDel="00000000" w:rsidR="00000000" w:rsidRPr="00000000">
        <w:rPr>
          <w:rtl w:val="0"/>
        </w:rPr>
      </w:r>
    </w:p>
    <w:p w:rsidR="00000000" w:rsidDel="00000000" w:rsidP="00000000" w:rsidRDefault="00000000" w:rsidRPr="00000000" w14:paraId="00000239">
      <w:pPr>
        <w:jc w:val="both"/>
        <w:rPr/>
      </w:pPr>
      <w:r w:rsidDel="00000000" w:rsidR="00000000" w:rsidRPr="00000000">
        <w:rPr>
          <w:rtl w:val="0"/>
        </w:rPr>
      </w:r>
    </w:p>
    <w:p w:rsidR="00000000" w:rsidDel="00000000" w:rsidP="00000000" w:rsidRDefault="00000000" w:rsidRPr="00000000" w14:paraId="0000023A">
      <w:pPr>
        <w:jc w:val="both"/>
        <w:rPr>
          <w:b w:val="1"/>
        </w:rPr>
      </w:pPr>
      <w:r w:rsidDel="00000000" w:rsidR="00000000" w:rsidRPr="00000000">
        <w:rPr>
          <w:b w:val="1"/>
          <w:rtl w:val="0"/>
        </w:rPr>
        <w:t xml:space="preserve">Hazel Reade, Delphine Frémondeau, Rhiannon Stevens</w:t>
      </w:r>
    </w:p>
    <w:p w:rsidR="00000000" w:rsidDel="00000000" w:rsidP="00000000" w:rsidRDefault="00000000" w:rsidRPr="00000000" w14:paraId="0000023B">
      <w:pPr>
        <w:jc w:val="both"/>
        <w:rPr>
          <w:color w:val="000000"/>
          <w:sz w:val="20"/>
          <w:szCs w:val="20"/>
        </w:rPr>
      </w:pPr>
      <w:r w:rsidDel="00000000" w:rsidR="00000000" w:rsidRPr="00000000">
        <w:rPr>
          <w:color w:val="000000"/>
          <w:sz w:val="20"/>
          <w:szCs w:val="20"/>
          <w:rtl w:val="0"/>
        </w:rPr>
        <w:t xml:space="preserve">University College London, United Kingdom</w:t>
      </w:r>
    </w:p>
    <w:p w:rsidR="00000000" w:rsidDel="00000000" w:rsidP="00000000" w:rsidRDefault="00000000" w:rsidRPr="00000000" w14:paraId="0000023C">
      <w:pPr>
        <w:jc w:val="both"/>
        <w:rPr>
          <w:color w:val="000000"/>
        </w:rPr>
      </w:pPr>
      <w:r w:rsidDel="00000000" w:rsidR="00000000" w:rsidRPr="00000000">
        <w:rPr>
          <w:rtl w:val="0"/>
        </w:rPr>
      </w:r>
    </w:p>
    <w:p w:rsidR="00000000" w:rsidDel="00000000" w:rsidP="00000000" w:rsidRDefault="00000000" w:rsidRPr="00000000" w14:paraId="0000023D">
      <w:pPr>
        <w:jc w:val="both"/>
        <w:rPr>
          <w:i w:val="1"/>
          <w:color w:val="000000"/>
          <w:u w:val="single"/>
        </w:rPr>
      </w:pPr>
      <w:r w:rsidDel="00000000" w:rsidR="00000000" w:rsidRPr="00000000">
        <w:rPr>
          <w:i w:val="1"/>
          <w:color w:val="000000"/>
          <w:u w:val="single"/>
          <w:rtl w:val="0"/>
        </w:rPr>
        <w:t xml:space="preserve">A major continental-scale late Pleistocene sulfur excursion: environmental change, permafrost thaw and the importance of sample sharing and multi-disciplinary collaboration </w:t>
      </w:r>
    </w:p>
    <w:p w:rsidR="00000000" w:rsidDel="00000000" w:rsidP="00000000" w:rsidRDefault="00000000" w:rsidRPr="00000000" w14:paraId="0000023E">
      <w:pPr>
        <w:jc w:val="both"/>
        <w:rPr>
          <w:color w:val="000000"/>
        </w:rPr>
      </w:pPr>
      <w:r w:rsidDel="00000000" w:rsidR="00000000" w:rsidRPr="00000000">
        <w:rPr>
          <w:color w:val="000000"/>
          <w:rtl w:val="0"/>
        </w:rPr>
        <w:t xml:space="preserve">Main: Using sulfur isotope analysis (δ34S) of radiocarbon-dated bone collagen samples spanning the last 50,000 years, we have identified a major sulfur isotope excursion in late Pleistocene Eurasia. This anomaly is geographically widespread, occurs in multiple different species, and is several orders of magnitude higher than can be explained by a change in animal mobility or diet alone. These results would not have been gained without significant collaboration and sharing of sample material. In this presentation we discuss the importance of the results in understanding major continental-scale environmental processes, with specific emphasis on late Pleistocene permafrost development and thaw. We consider how such large-scale approaches can produce high-impact findings; in this instance, how we are now building on our initial results to develop high-resolution records of past permafrost change, which can ultimately inform on the sensitivity of permafrost to past climate change and could enable better understanding of the response of present</w:t>
      </w:r>
      <w:r w:rsidDel="00000000" w:rsidR="00000000" w:rsidRPr="00000000">
        <w:rPr>
          <w:rFonts w:ascii="Cambria Math" w:cs="Cambria Math" w:eastAsia="Cambria Math" w:hAnsi="Cambria Math"/>
          <w:color w:val="000000"/>
          <w:rtl w:val="0"/>
        </w:rPr>
        <w:t xml:space="preserve">‐</w:t>
      </w:r>
      <w:r w:rsidDel="00000000" w:rsidR="00000000" w:rsidRPr="00000000">
        <w:rPr>
          <w:color w:val="000000"/>
          <w:rtl w:val="0"/>
        </w:rPr>
        <w:t xml:space="preserve">day permafrost to future climate change. Importantly, we discuss our approach to collaboration and sampling, with consideration of the need to limit destructive sampling of important archaeological and palaeontological collections, reduce analytical costs to make the best use of research funds, and maximise the geographical and chronological extent of our data collection. We also discuss how clear and open data reporting procedures can better enable the incorporation of published data into such studies and make some suggestions of how online, open-access data repositories could be developed to best serve such purposes.</w:t>
      </w:r>
    </w:p>
    <w:p w:rsidR="00000000" w:rsidDel="00000000" w:rsidP="00000000" w:rsidRDefault="00000000" w:rsidRPr="00000000" w14:paraId="0000023F">
      <w:pPr>
        <w:jc w:val="both"/>
        <w:rPr>
          <w:i w:val="1"/>
          <w:color w:val="000000"/>
        </w:rPr>
      </w:pPr>
      <w:r w:rsidDel="00000000" w:rsidR="00000000" w:rsidRPr="00000000">
        <w:rPr>
          <w:i w:val="1"/>
          <w:color w:val="000000"/>
          <w:rtl w:val="0"/>
        </w:rPr>
        <w:t xml:space="preserve">Keywords: sulfur, palaeoenvironment, permafrost, collaboration, collagen.</w:t>
      </w:r>
    </w:p>
    <w:p w:rsidR="00000000" w:rsidDel="00000000" w:rsidP="00000000" w:rsidRDefault="00000000" w:rsidRPr="00000000" w14:paraId="00000240">
      <w:pPr>
        <w:jc w:val="both"/>
        <w:rPr>
          <w:color w:val="000000"/>
        </w:rPr>
      </w:pPr>
      <w:r w:rsidDel="00000000" w:rsidR="00000000" w:rsidRPr="00000000">
        <w:rPr>
          <w:rtl w:val="0"/>
        </w:rPr>
      </w:r>
    </w:p>
    <w:p w:rsidR="00000000" w:rsidDel="00000000" w:rsidP="00000000" w:rsidRDefault="00000000" w:rsidRPr="00000000" w14:paraId="00000241">
      <w:pPr>
        <w:rPr/>
      </w:pPr>
      <w:r w:rsidDel="00000000" w:rsidR="00000000" w:rsidRPr="00000000">
        <w:br w:type="page"/>
      </w:r>
      <w:r w:rsidDel="00000000" w:rsidR="00000000" w:rsidRPr="00000000">
        <w:rPr>
          <w:rtl w:val="0"/>
        </w:rPr>
      </w:r>
    </w:p>
    <w:p w:rsidR="00000000" w:rsidDel="00000000" w:rsidP="00000000" w:rsidRDefault="00000000" w:rsidRPr="00000000" w14:paraId="00000242">
      <w:pPr>
        <w:jc w:val="both"/>
        <w:rPr>
          <w:b w:val="1"/>
          <w:sz w:val="32"/>
          <w:szCs w:val="32"/>
        </w:rPr>
      </w:pPr>
      <w:r w:rsidDel="00000000" w:rsidR="00000000" w:rsidRPr="00000000">
        <w:rPr>
          <w:b w:val="1"/>
          <w:sz w:val="32"/>
          <w:szCs w:val="32"/>
          <w:rtl w:val="0"/>
        </w:rPr>
        <w:t xml:space="preserve">Session: Herding/Hunting/Hustling</w:t>
      </w:r>
    </w:p>
    <w:p w:rsidR="00000000" w:rsidDel="00000000" w:rsidP="00000000" w:rsidRDefault="00000000" w:rsidRPr="00000000" w14:paraId="00000243">
      <w:pPr>
        <w:jc w:val="both"/>
        <w:rPr>
          <w:b w:val="1"/>
          <w:u w:val="single"/>
        </w:rPr>
      </w:pPr>
      <w:r w:rsidDel="00000000" w:rsidR="00000000" w:rsidRPr="00000000">
        <w:rPr>
          <w:rtl w:val="0"/>
        </w:rPr>
      </w:r>
    </w:p>
    <w:p w:rsidR="00000000" w:rsidDel="00000000" w:rsidP="00000000" w:rsidRDefault="00000000" w:rsidRPr="00000000" w14:paraId="00000244">
      <w:pPr>
        <w:jc w:val="both"/>
        <w:rPr>
          <w:b w:val="1"/>
          <w:sz w:val="32"/>
          <w:szCs w:val="32"/>
        </w:rPr>
      </w:pPr>
      <w:r w:rsidDel="00000000" w:rsidR="00000000" w:rsidRPr="00000000">
        <w:rPr>
          <w:b w:val="1"/>
          <w:sz w:val="32"/>
          <w:szCs w:val="32"/>
          <w:rtl w:val="0"/>
        </w:rPr>
        <w:t xml:space="preserve">Oral presentations</w:t>
      </w:r>
    </w:p>
    <w:p w:rsidR="00000000" w:rsidDel="00000000" w:rsidP="00000000" w:rsidRDefault="00000000" w:rsidRPr="00000000" w14:paraId="00000245">
      <w:pPr>
        <w:jc w:val="both"/>
        <w:rPr/>
      </w:pPr>
      <w:r w:rsidDel="00000000" w:rsidR="00000000" w:rsidRPr="00000000">
        <w:rPr>
          <w:rtl w:val="0"/>
        </w:rPr>
      </w:r>
    </w:p>
    <w:p w:rsidR="00000000" w:rsidDel="00000000" w:rsidP="00000000" w:rsidRDefault="00000000" w:rsidRPr="00000000" w14:paraId="00000246">
      <w:pPr>
        <w:jc w:val="both"/>
        <w:rPr>
          <w:b w:val="1"/>
        </w:rPr>
      </w:pPr>
      <w:r w:rsidDel="00000000" w:rsidR="00000000" w:rsidRPr="00000000">
        <w:rPr>
          <w:b w:val="1"/>
          <w:rtl w:val="0"/>
        </w:rPr>
        <w:t xml:space="preserve">Ariadna Nieto-Espinet1, Angela Trentacoste2, Gerard Cardona3, Mateo Carrocio4, Leopoldo Pena5, Silvia Valenzuela-Lamas6 </w:t>
      </w:r>
    </w:p>
    <w:p w:rsidR="00000000" w:rsidDel="00000000" w:rsidP="00000000" w:rsidRDefault="00000000" w:rsidRPr="00000000" w14:paraId="00000247">
      <w:pPr>
        <w:jc w:val="both"/>
        <w:rPr>
          <w:sz w:val="20"/>
          <w:szCs w:val="20"/>
        </w:rPr>
      </w:pPr>
      <w:r w:rsidDel="00000000" w:rsidR="00000000" w:rsidRPr="00000000">
        <w:rPr>
          <w:sz w:val="20"/>
          <w:szCs w:val="20"/>
          <w:rtl w:val="0"/>
        </w:rPr>
        <w:t xml:space="preserve">1Departament d'Història, Grup d'Investigació Prehistòrica, University of Lleida, Spain</w:t>
      </w:r>
    </w:p>
    <w:p w:rsidR="00000000" w:rsidDel="00000000" w:rsidP="00000000" w:rsidRDefault="00000000" w:rsidRPr="00000000" w14:paraId="00000248">
      <w:pPr>
        <w:jc w:val="both"/>
        <w:rPr>
          <w:sz w:val="20"/>
          <w:szCs w:val="20"/>
        </w:rPr>
      </w:pPr>
      <w:r w:rsidDel="00000000" w:rsidR="00000000" w:rsidRPr="00000000">
        <w:rPr>
          <w:sz w:val="20"/>
          <w:szCs w:val="20"/>
          <w:rtl w:val="0"/>
        </w:rPr>
        <w:t xml:space="preserve">2Christian-Albrechts-Universität zu Kiel</w:t>
      </w:r>
    </w:p>
    <w:p w:rsidR="00000000" w:rsidDel="00000000" w:rsidP="00000000" w:rsidRDefault="00000000" w:rsidRPr="00000000" w14:paraId="00000249">
      <w:pPr>
        <w:jc w:val="both"/>
        <w:rPr>
          <w:sz w:val="20"/>
          <w:szCs w:val="20"/>
        </w:rPr>
      </w:pPr>
      <w:r w:rsidDel="00000000" w:rsidR="00000000" w:rsidRPr="00000000">
        <w:rPr>
          <w:sz w:val="20"/>
          <w:szCs w:val="20"/>
          <w:rtl w:val="0"/>
        </w:rPr>
        <w:t xml:space="preserve">3Xisqueta sheep farmer, Casa Ricou</w:t>
      </w:r>
    </w:p>
    <w:p w:rsidR="00000000" w:rsidDel="00000000" w:rsidP="00000000" w:rsidRDefault="00000000" w:rsidRPr="00000000" w14:paraId="0000024A">
      <w:pPr>
        <w:jc w:val="both"/>
        <w:rPr>
          <w:sz w:val="20"/>
          <w:szCs w:val="20"/>
        </w:rPr>
      </w:pPr>
      <w:r w:rsidDel="00000000" w:rsidR="00000000" w:rsidRPr="00000000">
        <w:rPr>
          <w:sz w:val="20"/>
          <w:szCs w:val="20"/>
          <w:rtl w:val="0"/>
        </w:rPr>
        <w:t xml:space="preserve">4Catalan goat farmer</w:t>
      </w:r>
    </w:p>
    <w:p w:rsidR="00000000" w:rsidDel="00000000" w:rsidP="00000000" w:rsidRDefault="00000000" w:rsidRPr="00000000" w14:paraId="0000024B">
      <w:pPr>
        <w:jc w:val="both"/>
        <w:rPr>
          <w:sz w:val="20"/>
          <w:szCs w:val="20"/>
        </w:rPr>
      </w:pPr>
      <w:r w:rsidDel="00000000" w:rsidR="00000000" w:rsidRPr="00000000">
        <w:rPr>
          <w:sz w:val="20"/>
          <w:szCs w:val="20"/>
          <w:rtl w:val="0"/>
        </w:rPr>
        <w:t xml:space="preserve">5Universitat de Barcelona, GRC Geociències Marines Dept. de Dinàmica de la Terra i de l'Oceà Facultat de Ciències de la Terra</w:t>
      </w:r>
    </w:p>
    <w:p w:rsidR="00000000" w:rsidDel="00000000" w:rsidP="00000000" w:rsidRDefault="00000000" w:rsidRPr="00000000" w14:paraId="0000024C">
      <w:pPr>
        <w:jc w:val="both"/>
        <w:rPr>
          <w:sz w:val="20"/>
          <w:szCs w:val="20"/>
        </w:rPr>
      </w:pPr>
      <w:r w:rsidDel="00000000" w:rsidR="00000000" w:rsidRPr="00000000">
        <w:rPr>
          <w:sz w:val="20"/>
          <w:szCs w:val="20"/>
          <w:rtl w:val="0"/>
        </w:rPr>
        <w:t xml:space="preserve">6Consejo Superior de Investigaciones Científicas - Institució Milà i Fontanals, Grup Arqueologia de les Dinàmiques Socials, Barcelona </w:t>
      </w:r>
    </w:p>
    <w:p w:rsidR="00000000" w:rsidDel="00000000" w:rsidP="00000000" w:rsidRDefault="00000000" w:rsidRPr="00000000" w14:paraId="0000024D">
      <w:pPr>
        <w:jc w:val="both"/>
        <w:rPr/>
      </w:pPr>
      <w:r w:rsidDel="00000000" w:rsidR="00000000" w:rsidRPr="00000000">
        <w:rPr>
          <w:rtl w:val="0"/>
        </w:rPr>
      </w:r>
    </w:p>
    <w:p w:rsidR="00000000" w:rsidDel="00000000" w:rsidP="00000000" w:rsidRDefault="00000000" w:rsidRPr="00000000" w14:paraId="0000024E">
      <w:pPr>
        <w:jc w:val="both"/>
        <w:rPr>
          <w:i w:val="1"/>
          <w:u w:val="single"/>
        </w:rPr>
      </w:pPr>
      <w:r w:rsidDel="00000000" w:rsidR="00000000" w:rsidRPr="00000000">
        <w:rPr>
          <w:i w:val="1"/>
          <w:u w:val="single"/>
          <w:rtl w:val="0"/>
        </w:rPr>
        <w:t xml:space="preserve">Pioneering study in the detection of modern seasonal mobility through the analysis of strontium and oxygen stable isotopes. An example of collaborative and slow research with extensive livestock farmers in the Lleida Pyrenees</w:t>
      </w:r>
    </w:p>
    <w:p w:rsidR="00000000" w:rsidDel="00000000" w:rsidP="00000000" w:rsidRDefault="00000000" w:rsidRPr="00000000" w14:paraId="0000024F">
      <w:pPr>
        <w:jc w:val="both"/>
        <w:rPr/>
      </w:pPr>
      <w:r w:rsidDel="00000000" w:rsidR="00000000" w:rsidRPr="00000000">
        <w:rPr>
          <w:rtl w:val="0"/>
        </w:rPr>
        <w:t xml:space="preserve">The analysis of animal mobility is key to understand the livestock strategies implemented by human societies over time. How herds moved through the territory during prehistoric times and when the first transhumance took place is still unknown in many areas of Western Europe. During the last 5 years the ERC-StG project "ZooMWest" has been working to answer these questions. For this reason, we developed ethnographic work with extensive sheep &amp; goat farmers and shepherds in the Lleida Pyrenees. The aim was to provide different references of current pastoral movements that help to identify livestock movements during antiquity. Our results demonstrate that strontium isotope ratios of tooth enamel reflect the mobility patterns of present-day herds. Therefore, they can be used to track the mobility patterns of animals in the past. All in all, this work provides very relevant results that will help to improve and refine methodologies for detecting mobility in archaeological assemblages. In addition, this work also reflects on the conditioning factors and aspects to be taken into account when carrying out this type of ethnographic work. The current pace of research is far removed from the rhythms and lifestyles of today's livestock farmers, who are often used as mere providers of samples. For this reason, beyond the scientific issues, this work wants to claim the application of a real transfer of knowledge between scientists and livestock farmers, which guarantees access to knowledge to these groups, sometimes invisible to society.</w:t>
      </w:r>
    </w:p>
    <w:p w:rsidR="00000000" w:rsidDel="00000000" w:rsidP="00000000" w:rsidRDefault="00000000" w:rsidRPr="00000000" w14:paraId="00000250">
      <w:pPr>
        <w:jc w:val="both"/>
        <w:rPr>
          <w:i w:val="1"/>
        </w:rPr>
      </w:pPr>
      <w:r w:rsidDel="00000000" w:rsidR="00000000" w:rsidRPr="00000000">
        <w:rPr>
          <w:i w:val="1"/>
          <w:rtl w:val="0"/>
        </w:rPr>
        <w:t xml:space="preserve">Keywords: Ethnography, Current flock mobility, sheep&amp;goats, isotopic analysis, Pyrenees.</w:t>
      </w:r>
    </w:p>
    <w:p w:rsidR="00000000" w:rsidDel="00000000" w:rsidP="00000000" w:rsidRDefault="00000000" w:rsidRPr="00000000" w14:paraId="00000251">
      <w:pPr>
        <w:jc w:val="both"/>
        <w:rPr>
          <w:b w:val="1"/>
        </w:rPr>
      </w:pPr>
      <w:r w:rsidDel="00000000" w:rsidR="00000000" w:rsidRPr="00000000">
        <w:rPr>
          <w:rtl w:val="0"/>
        </w:rPr>
      </w:r>
    </w:p>
    <w:p w:rsidR="00000000" w:rsidDel="00000000" w:rsidP="00000000" w:rsidRDefault="00000000" w:rsidRPr="00000000" w14:paraId="00000252">
      <w:pPr>
        <w:jc w:val="both"/>
        <w:rPr/>
      </w:pPr>
      <w:r w:rsidDel="00000000" w:rsidR="00000000" w:rsidRPr="00000000">
        <w:rPr>
          <w:rtl w:val="0"/>
        </w:rPr>
      </w:r>
    </w:p>
    <w:p w:rsidR="00000000" w:rsidDel="00000000" w:rsidP="00000000" w:rsidRDefault="00000000" w:rsidRPr="00000000" w14:paraId="00000253">
      <w:pPr>
        <w:jc w:val="both"/>
        <w:rPr>
          <w:b w:val="1"/>
        </w:rPr>
      </w:pPr>
      <w:r w:rsidDel="00000000" w:rsidR="00000000" w:rsidRPr="00000000">
        <w:rPr>
          <w:b w:val="1"/>
          <w:rtl w:val="0"/>
        </w:rPr>
        <w:t xml:space="preserve">Katherine French, Richard Madgwick </w:t>
      </w:r>
    </w:p>
    <w:p w:rsidR="00000000" w:rsidDel="00000000" w:rsidP="00000000" w:rsidRDefault="00000000" w:rsidRPr="00000000" w14:paraId="00000254">
      <w:pPr>
        <w:jc w:val="both"/>
        <w:rPr>
          <w:sz w:val="20"/>
          <w:szCs w:val="20"/>
        </w:rPr>
      </w:pPr>
      <w:r w:rsidDel="00000000" w:rsidR="00000000" w:rsidRPr="00000000">
        <w:rPr>
          <w:sz w:val="20"/>
          <w:szCs w:val="20"/>
          <w:rtl w:val="0"/>
        </w:rPr>
        <w:t xml:space="preserve">Cardiff University, United Kingdom</w:t>
      </w:r>
    </w:p>
    <w:p w:rsidR="00000000" w:rsidDel="00000000" w:rsidP="00000000" w:rsidRDefault="00000000" w:rsidRPr="00000000" w14:paraId="00000255">
      <w:pPr>
        <w:jc w:val="both"/>
        <w:rPr>
          <w:i w:val="1"/>
        </w:rPr>
      </w:pPr>
      <w:r w:rsidDel="00000000" w:rsidR="00000000" w:rsidRPr="00000000">
        <w:rPr>
          <w:rtl w:val="0"/>
        </w:rPr>
      </w:r>
    </w:p>
    <w:p w:rsidR="00000000" w:rsidDel="00000000" w:rsidP="00000000" w:rsidRDefault="00000000" w:rsidRPr="00000000" w14:paraId="00000256">
      <w:pPr>
        <w:jc w:val="both"/>
        <w:rPr>
          <w:i w:val="1"/>
          <w:u w:val="single"/>
        </w:rPr>
      </w:pPr>
      <w:r w:rsidDel="00000000" w:rsidR="00000000" w:rsidRPr="00000000">
        <w:rPr>
          <w:i w:val="1"/>
          <w:u w:val="single"/>
          <w:rtl w:val="0"/>
        </w:rPr>
        <w:t xml:space="preserve">Hold your horses – strontium isotopes reveal mobility amongst sacrificed horses in the Eastern Baltic (2nd-13th century AD)</w:t>
      </w:r>
    </w:p>
    <w:p w:rsidR="00000000" w:rsidDel="00000000" w:rsidP="00000000" w:rsidRDefault="00000000" w:rsidRPr="00000000" w14:paraId="00000257">
      <w:pPr>
        <w:jc w:val="both"/>
        <w:rPr/>
      </w:pPr>
      <w:r w:rsidDel="00000000" w:rsidR="00000000" w:rsidRPr="00000000">
        <w:rPr>
          <w:rtl w:val="0"/>
        </w:rPr>
        <w:t xml:space="preserve">The public sacrifice and burial of horses in cemeteries is a defining, yet enigmatic, feature of Baltic tribal culture between the 2nd and 13/14th centuries AD. Questions concerning the sourcing and character of the horses themselves remain unresolved. In addition, little is verified of how these systems or ritual choices evolved over the centuries or varied between Baltic tribal communities. This paper presents the results of a mobility study of sacrificial horses conducted as part of the MSCA H2020-funded BONEZ project, using strontium isotopes. The study includes samples of the first and third molars (when available) from n=74 individuals excavated from northeastern Poland, Russia (Kaliningrad Oblast) and Lithuania in order to capture mobility between the birth and the working age of each horse. This study also includes the first baseline bioavailable strontium data for northeastern Poland. The data address long-standing questions concerning the sourcing of sacrificed individuals, and the results also provide provocative evidence concerning the timing and extent of Scandinavian impact on the practice. Findings shift and refine our view of the economics and social implications of horse sacrifices and public ritual behaviour amongst the longest enduring pagan-dominated communities in northern Europe.</w:t>
      </w:r>
    </w:p>
    <w:p w:rsidR="00000000" w:rsidDel="00000000" w:rsidP="00000000" w:rsidRDefault="00000000" w:rsidRPr="00000000" w14:paraId="00000258">
      <w:pPr>
        <w:jc w:val="both"/>
        <w:rPr>
          <w:i w:val="1"/>
        </w:rPr>
      </w:pPr>
      <w:r w:rsidDel="00000000" w:rsidR="00000000" w:rsidRPr="00000000">
        <w:rPr>
          <w:i w:val="1"/>
          <w:rtl w:val="0"/>
        </w:rPr>
        <w:t xml:space="preserve">Keywords: Baltic Archaeology, Horse Sacrifice, Strontium Isotopes, Late Prehistory.</w:t>
      </w:r>
    </w:p>
    <w:p w:rsidR="00000000" w:rsidDel="00000000" w:rsidP="00000000" w:rsidRDefault="00000000" w:rsidRPr="00000000" w14:paraId="00000259">
      <w:pPr>
        <w:jc w:val="both"/>
        <w:rPr/>
      </w:pPr>
      <w:r w:rsidDel="00000000" w:rsidR="00000000" w:rsidRPr="00000000">
        <w:rPr>
          <w:rtl w:val="0"/>
        </w:rPr>
      </w:r>
    </w:p>
    <w:p w:rsidR="00000000" w:rsidDel="00000000" w:rsidP="00000000" w:rsidRDefault="00000000" w:rsidRPr="00000000" w14:paraId="0000025A">
      <w:pPr>
        <w:jc w:val="both"/>
        <w:rPr/>
      </w:pPr>
      <w:r w:rsidDel="00000000" w:rsidR="00000000" w:rsidRPr="00000000">
        <w:rPr>
          <w:rtl w:val="0"/>
        </w:rPr>
      </w:r>
    </w:p>
    <w:p w:rsidR="00000000" w:rsidDel="00000000" w:rsidP="00000000" w:rsidRDefault="00000000" w:rsidRPr="00000000" w14:paraId="0000025B">
      <w:pPr>
        <w:jc w:val="both"/>
        <w:rPr>
          <w:b w:val="1"/>
        </w:rPr>
      </w:pPr>
      <w:bookmarkStart w:colFirst="0" w:colLast="0" w:name="_heading=h.gjdgxs" w:id="0"/>
      <w:bookmarkEnd w:id="0"/>
      <w:r w:rsidDel="00000000" w:rsidR="00000000" w:rsidRPr="00000000">
        <w:rPr>
          <w:b w:val="1"/>
          <w:rtl w:val="0"/>
        </w:rPr>
        <w:t xml:space="preserve">Leia Mion1, Hongjiao Ma1, Peter Guest2, Angela Lamb3, Richard Madgwick1</w:t>
      </w:r>
    </w:p>
    <w:p w:rsidR="00000000" w:rsidDel="00000000" w:rsidP="00000000" w:rsidRDefault="00000000" w:rsidRPr="00000000" w14:paraId="0000025C">
      <w:pPr>
        <w:spacing w:line="240" w:lineRule="auto"/>
        <w:jc w:val="both"/>
        <w:rPr>
          <w:color w:val="000000"/>
          <w:sz w:val="20"/>
          <w:szCs w:val="20"/>
        </w:rPr>
      </w:pPr>
      <w:r w:rsidDel="00000000" w:rsidR="00000000" w:rsidRPr="00000000">
        <w:rPr>
          <w:color w:val="000000"/>
          <w:sz w:val="20"/>
          <w:szCs w:val="20"/>
          <w:rtl w:val="0"/>
        </w:rPr>
        <w:t xml:space="preserve">1Cardiff University, United Kingdom</w:t>
      </w:r>
    </w:p>
    <w:p w:rsidR="00000000" w:rsidDel="00000000" w:rsidP="00000000" w:rsidRDefault="00000000" w:rsidRPr="00000000" w14:paraId="0000025D">
      <w:pPr>
        <w:jc w:val="both"/>
        <w:rPr>
          <w:sz w:val="20"/>
          <w:szCs w:val="20"/>
        </w:rPr>
      </w:pPr>
      <w:r w:rsidDel="00000000" w:rsidR="00000000" w:rsidRPr="00000000">
        <w:rPr>
          <w:sz w:val="20"/>
          <w:szCs w:val="20"/>
          <w:rtl w:val="0"/>
        </w:rPr>
        <w:t xml:space="preserve">2Vianova Archaeology &amp; Heritage Services, United Kingdom</w:t>
      </w:r>
    </w:p>
    <w:p w:rsidR="00000000" w:rsidDel="00000000" w:rsidP="00000000" w:rsidRDefault="00000000" w:rsidRPr="00000000" w14:paraId="0000025E">
      <w:pPr>
        <w:jc w:val="both"/>
        <w:rPr>
          <w:sz w:val="20"/>
          <w:szCs w:val="20"/>
        </w:rPr>
      </w:pPr>
      <w:r w:rsidDel="00000000" w:rsidR="00000000" w:rsidRPr="00000000">
        <w:rPr>
          <w:sz w:val="20"/>
          <w:szCs w:val="20"/>
          <w:rtl w:val="0"/>
        </w:rPr>
        <w:t xml:space="preserve">3British Geological Survey, United Kingdom</w:t>
      </w:r>
    </w:p>
    <w:p w:rsidR="00000000" w:rsidDel="00000000" w:rsidP="00000000" w:rsidRDefault="00000000" w:rsidRPr="00000000" w14:paraId="0000025F">
      <w:pPr>
        <w:jc w:val="both"/>
        <w:rPr/>
      </w:pPr>
      <w:r w:rsidDel="00000000" w:rsidR="00000000" w:rsidRPr="00000000">
        <w:rPr>
          <w:rtl w:val="0"/>
        </w:rPr>
      </w:r>
    </w:p>
    <w:p w:rsidR="00000000" w:rsidDel="00000000" w:rsidP="00000000" w:rsidRDefault="00000000" w:rsidRPr="00000000" w14:paraId="00000260">
      <w:pPr>
        <w:jc w:val="both"/>
        <w:rPr>
          <w:i w:val="1"/>
          <w:u w:val="single"/>
        </w:rPr>
      </w:pPr>
      <w:r w:rsidDel="00000000" w:rsidR="00000000" w:rsidRPr="00000000">
        <w:rPr>
          <w:i w:val="1"/>
          <w:u w:val="single"/>
          <w:rtl w:val="0"/>
        </w:rPr>
        <w:t xml:space="preserve">Feeding the Roman army in Britain (FRAB): Supplying the frontier in Wales </w:t>
      </w:r>
    </w:p>
    <w:p w:rsidR="00000000" w:rsidDel="00000000" w:rsidP="00000000" w:rsidRDefault="00000000" w:rsidRPr="00000000" w14:paraId="00000261">
      <w:pPr>
        <w:jc w:val="both"/>
        <w:rPr/>
      </w:pPr>
      <w:r w:rsidDel="00000000" w:rsidR="00000000" w:rsidRPr="00000000">
        <w:rPr>
          <w:rtl w:val="0"/>
        </w:rPr>
        <w:t xml:space="preserve">How did the Roman Empire supply its very large frontier garrisons? Maintaining provision was key to the success of Roman imperialism, but we still know remarkably little about how Romans soldiers on the frontiers were supplied and the impact this had on the provincial countryside and its population. A new project, ‘Feeding the Roman Army in Britain’, funded by the Leverhulme Trust, seeks to address these issues using a multi-isotope approach applied to domestic fauna from 16 sites in three frontier regions of Britannia: South Wales, Hadrian’s Wall and the Antonine Wall. This paper presents the first results, from South Wales, and explores the networks of supply and husbandry strategies that supported the army. South Wales was a dispersed (‘defence-in-depth’) frontier during the first and early second century CE, with a network of legionary fortresses, auxiliary forts and supply bases. Up to 25,000 soldiers were garrisoned here between 60 and 120 CE. This implies the control of agricultural resources over a large area, an organised provisioning network and a major impact on inhabitants of this newly conquered region. Analysis focuses on four military sites (Caerleon, Usk, Cardiff Castle and Loughor) and three rural settlements (Thornwell Farm, Whitton and Nash) occupied between 55 and 200. 192 teeth and 80 associated bones were sampled. Teeth were analysed for strontium, carbon, nitrogen and sulphur isotopes, whilst bone collagen was analysed for carbon and nitrogen. Preliminary results show species-specific landscape use and husbandry practices and suggest that, in some instances, resources were mobilised from a wide network.</w:t>
      </w:r>
    </w:p>
    <w:p w:rsidR="00000000" w:rsidDel="00000000" w:rsidP="00000000" w:rsidRDefault="00000000" w:rsidRPr="00000000" w14:paraId="00000262">
      <w:pPr>
        <w:jc w:val="both"/>
        <w:rPr>
          <w:i w:val="1"/>
        </w:rPr>
      </w:pPr>
      <w:r w:rsidDel="00000000" w:rsidR="00000000" w:rsidRPr="00000000">
        <w:rPr>
          <w:i w:val="1"/>
          <w:rtl w:val="0"/>
        </w:rPr>
        <w:t xml:space="preserve">Keywords: Roman military, Supply networks, Wales, Collagen isotope analysis.</w:t>
      </w:r>
    </w:p>
    <w:p w:rsidR="00000000" w:rsidDel="00000000" w:rsidP="00000000" w:rsidRDefault="00000000" w:rsidRPr="00000000" w14:paraId="00000263">
      <w:pPr>
        <w:jc w:val="both"/>
        <w:rPr/>
      </w:pPr>
      <w:r w:rsidDel="00000000" w:rsidR="00000000" w:rsidRPr="00000000">
        <w:rPr>
          <w:rtl w:val="0"/>
        </w:rPr>
      </w:r>
    </w:p>
    <w:p w:rsidR="00000000" w:rsidDel="00000000" w:rsidP="00000000" w:rsidRDefault="00000000" w:rsidRPr="00000000" w14:paraId="00000264">
      <w:pPr>
        <w:jc w:val="both"/>
        <w:rPr>
          <w:b w:val="1"/>
        </w:rPr>
      </w:pPr>
      <w:r w:rsidDel="00000000" w:rsidR="00000000" w:rsidRPr="00000000">
        <w:rPr>
          <w:rtl w:val="0"/>
        </w:rPr>
      </w:r>
    </w:p>
    <w:p w:rsidR="00000000" w:rsidDel="00000000" w:rsidP="00000000" w:rsidRDefault="00000000" w:rsidRPr="00000000" w14:paraId="00000265">
      <w:pPr>
        <w:jc w:val="both"/>
        <w:rPr>
          <w:b w:val="1"/>
        </w:rPr>
      </w:pPr>
      <w:bookmarkStart w:colFirst="0" w:colLast="0" w:name="_heading=h.30j0zll" w:id="2"/>
      <w:bookmarkEnd w:id="2"/>
      <w:r w:rsidDel="00000000" w:rsidR="00000000" w:rsidRPr="00000000">
        <w:rPr>
          <w:b w:val="1"/>
          <w:rtl w:val="0"/>
        </w:rPr>
        <w:t xml:space="preserve">Emily Lena Jones1, Caitlin Ainsworth1, Scott Kirk2, Victoria Monagle1</w:t>
      </w:r>
    </w:p>
    <w:p w:rsidR="00000000" w:rsidDel="00000000" w:rsidP="00000000" w:rsidRDefault="00000000" w:rsidRPr="00000000" w14:paraId="00000266">
      <w:pPr>
        <w:jc w:val="both"/>
        <w:rPr>
          <w:sz w:val="20"/>
          <w:szCs w:val="20"/>
        </w:rPr>
      </w:pPr>
      <w:r w:rsidDel="00000000" w:rsidR="00000000" w:rsidRPr="00000000">
        <w:rPr>
          <w:sz w:val="20"/>
          <w:szCs w:val="20"/>
          <w:rtl w:val="0"/>
        </w:rPr>
        <w:t xml:space="preserve">1University of New Mexico</w:t>
      </w:r>
    </w:p>
    <w:p w:rsidR="00000000" w:rsidDel="00000000" w:rsidP="00000000" w:rsidRDefault="00000000" w:rsidRPr="00000000" w14:paraId="00000267">
      <w:pPr>
        <w:jc w:val="both"/>
        <w:rPr>
          <w:sz w:val="20"/>
          <w:szCs w:val="20"/>
        </w:rPr>
      </w:pPr>
      <w:r w:rsidDel="00000000" w:rsidR="00000000" w:rsidRPr="00000000">
        <w:rPr>
          <w:sz w:val="20"/>
          <w:szCs w:val="20"/>
          <w:rtl w:val="0"/>
        </w:rPr>
        <w:t xml:space="preserve">2R. Christopher Goodwin and Associates</w:t>
      </w:r>
    </w:p>
    <w:p w:rsidR="00000000" w:rsidDel="00000000" w:rsidP="00000000" w:rsidRDefault="00000000" w:rsidRPr="00000000" w14:paraId="00000268">
      <w:pPr>
        <w:jc w:val="both"/>
        <w:rPr/>
      </w:pPr>
      <w:r w:rsidDel="00000000" w:rsidR="00000000" w:rsidRPr="00000000">
        <w:rPr>
          <w:rtl w:val="0"/>
        </w:rPr>
      </w:r>
    </w:p>
    <w:p w:rsidR="00000000" w:rsidDel="00000000" w:rsidP="00000000" w:rsidRDefault="00000000" w:rsidRPr="00000000" w14:paraId="00000269">
      <w:pPr>
        <w:jc w:val="both"/>
        <w:rPr>
          <w:i w:val="1"/>
          <w:u w:val="single"/>
        </w:rPr>
      </w:pPr>
      <w:r w:rsidDel="00000000" w:rsidR="00000000" w:rsidRPr="00000000">
        <w:rPr>
          <w:i w:val="1"/>
          <w:u w:val="single"/>
          <w:rtl w:val="0"/>
        </w:rPr>
        <w:t xml:space="preserve">Animal husbandry, trade, and environmental change in historic central New Mexico: isotopic evidence from Los Ranchos Plaza and North Edith Casa-Corral </w:t>
      </w:r>
    </w:p>
    <w:p w:rsidR="00000000" w:rsidDel="00000000" w:rsidP="00000000" w:rsidRDefault="00000000" w:rsidRPr="00000000" w14:paraId="0000026A">
      <w:pPr>
        <w:jc w:val="both"/>
        <w:rPr/>
      </w:pPr>
      <w:r w:rsidDel="00000000" w:rsidR="00000000" w:rsidRPr="00000000">
        <w:rPr>
          <w:rtl w:val="0"/>
        </w:rPr>
        <w:t xml:space="preserve">Non-native domestic ungulates were introduced to central New Mexico beginning in 1540 CE. In the centuries that followed, sheep, goats, and eventually cattle became central to the New Mexican economy, with herds increasing in size and density over this period. By the early twentieth century, environmental issues such erosion, sedimentation, changes in the density and distribution of native taxa, and increased greenhouse gas emissions were the result. The timing of when herd sizes grew to the point that they triggered such impacts is, however, unclear; some evidence suggests overgrazing from sheep herding was a problem as early as the seventeenth century, while other evidence indicates that local environmental thresholds were not crossed until the arrival of the railroad (and with it, increased connection to American markets) in 1880. In this study, we compare carbon (d13C) and nitrogen (d15N) stable isotope ratios from caprid and cattle skeletal remains recovered from two historic New Mexican sites: Los Ranchos Plaza (LA 46638) and North Edith Casa-Corral (LA 50245). With these data, we characterize livestock grazing practices and their environmental impact in the Middle Rio Grande Valley of New Mexico before and after the major political and economic shifts of the 19th century. Our results support the hypothesis that increased investment in cattle ranching following the arrival of the railroad, rather than the relatively small-scale sheep herding that preceded this date, may have triggered the environmental impacts from grazing animals recorded in the early twentieth century and still observable today. </w:t>
      </w:r>
    </w:p>
    <w:p w:rsidR="00000000" w:rsidDel="00000000" w:rsidP="00000000" w:rsidRDefault="00000000" w:rsidRPr="00000000" w14:paraId="0000026B">
      <w:pPr>
        <w:jc w:val="both"/>
        <w:rPr>
          <w:i w:val="1"/>
        </w:rPr>
      </w:pPr>
      <w:r w:rsidDel="00000000" w:rsidR="00000000" w:rsidRPr="00000000">
        <w:rPr>
          <w:i w:val="1"/>
          <w:rtl w:val="0"/>
        </w:rPr>
        <w:t xml:space="preserve">Keywords: Grazing impacts; historic New Mexico; introduced livestock; Columbian exchange; market exchange; connectivity.</w:t>
      </w:r>
    </w:p>
    <w:p w:rsidR="00000000" w:rsidDel="00000000" w:rsidP="00000000" w:rsidRDefault="00000000" w:rsidRPr="00000000" w14:paraId="0000026C">
      <w:pPr>
        <w:jc w:val="both"/>
        <w:rPr/>
      </w:pPr>
      <w:r w:rsidDel="00000000" w:rsidR="00000000" w:rsidRPr="00000000">
        <w:rPr>
          <w:rtl w:val="0"/>
        </w:rPr>
      </w:r>
    </w:p>
    <w:p w:rsidR="00000000" w:rsidDel="00000000" w:rsidP="00000000" w:rsidRDefault="00000000" w:rsidRPr="00000000" w14:paraId="0000026D">
      <w:pPr>
        <w:jc w:val="both"/>
        <w:rPr/>
      </w:pPr>
      <w:r w:rsidDel="00000000" w:rsidR="00000000" w:rsidRPr="00000000">
        <w:rPr>
          <w:rtl w:val="0"/>
        </w:rPr>
      </w:r>
    </w:p>
    <w:p w:rsidR="00000000" w:rsidDel="00000000" w:rsidP="00000000" w:rsidRDefault="00000000" w:rsidRPr="00000000" w14:paraId="0000026E">
      <w:pPr>
        <w:jc w:val="both"/>
        <w:rPr>
          <w:b w:val="1"/>
        </w:rPr>
      </w:pPr>
      <w:bookmarkStart w:colFirst="0" w:colLast="0" w:name="_heading=h.1fob9te" w:id="3"/>
      <w:bookmarkEnd w:id="3"/>
      <w:r w:rsidDel="00000000" w:rsidR="00000000" w:rsidRPr="00000000">
        <w:rPr>
          <w:b w:val="1"/>
          <w:rtl w:val="0"/>
        </w:rPr>
        <w:t xml:space="preserve">Lizzie Wright1,2, Hannah O’Regan1, Angela Lamb3, Jane Evans3</w:t>
      </w:r>
    </w:p>
    <w:p w:rsidR="00000000" w:rsidDel="00000000" w:rsidP="00000000" w:rsidRDefault="00000000" w:rsidRPr="00000000" w14:paraId="0000026F">
      <w:pPr>
        <w:jc w:val="both"/>
        <w:rPr>
          <w:sz w:val="20"/>
          <w:szCs w:val="20"/>
        </w:rPr>
      </w:pPr>
      <w:r w:rsidDel="00000000" w:rsidR="00000000" w:rsidRPr="00000000">
        <w:rPr>
          <w:sz w:val="20"/>
          <w:szCs w:val="20"/>
          <w:rtl w:val="0"/>
        </w:rPr>
        <w:t xml:space="preserve">1University of Nottingham, United Kingdom</w:t>
      </w:r>
    </w:p>
    <w:p w:rsidR="00000000" w:rsidDel="00000000" w:rsidP="00000000" w:rsidRDefault="00000000" w:rsidRPr="00000000" w14:paraId="00000270">
      <w:pPr>
        <w:jc w:val="both"/>
        <w:rPr>
          <w:sz w:val="20"/>
          <w:szCs w:val="20"/>
        </w:rPr>
      </w:pPr>
      <w:r w:rsidDel="00000000" w:rsidR="00000000" w:rsidRPr="00000000">
        <w:rPr>
          <w:sz w:val="20"/>
          <w:szCs w:val="20"/>
          <w:rtl w:val="0"/>
        </w:rPr>
        <w:t xml:space="preserve">2University of York, United Kingdom</w:t>
      </w:r>
    </w:p>
    <w:p w:rsidR="00000000" w:rsidDel="00000000" w:rsidP="00000000" w:rsidRDefault="00000000" w:rsidRPr="00000000" w14:paraId="00000271">
      <w:pPr>
        <w:jc w:val="both"/>
        <w:rPr>
          <w:sz w:val="20"/>
          <w:szCs w:val="20"/>
        </w:rPr>
      </w:pPr>
      <w:r w:rsidDel="00000000" w:rsidR="00000000" w:rsidRPr="00000000">
        <w:rPr>
          <w:sz w:val="20"/>
          <w:szCs w:val="20"/>
          <w:rtl w:val="0"/>
        </w:rPr>
        <w:t xml:space="preserve">3British Geological Survey, United Kingdom</w:t>
      </w:r>
    </w:p>
    <w:p w:rsidR="00000000" w:rsidDel="00000000" w:rsidP="00000000" w:rsidRDefault="00000000" w:rsidRPr="00000000" w14:paraId="00000272">
      <w:pPr>
        <w:jc w:val="both"/>
        <w:rPr/>
      </w:pPr>
      <w:r w:rsidDel="00000000" w:rsidR="00000000" w:rsidRPr="00000000">
        <w:rPr>
          <w:rtl w:val="0"/>
        </w:rPr>
      </w:r>
    </w:p>
    <w:p w:rsidR="00000000" w:rsidDel="00000000" w:rsidP="00000000" w:rsidRDefault="00000000" w:rsidRPr="00000000" w14:paraId="00000273">
      <w:pPr>
        <w:jc w:val="both"/>
        <w:rPr>
          <w:i w:val="1"/>
          <w:u w:val="single"/>
        </w:rPr>
      </w:pPr>
      <w:r w:rsidDel="00000000" w:rsidR="00000000" w:rsidRPr="00000000">
        <w:rPr>
          <w:i w:val="1"/>
          <w:u w:val="single"/>
          <w:rtl w:val="0"/>
        </w:rPr>
        <w:t xml:space="preserve">Box Office Bears (BOB): integrating zooarchaeology, isotopes and archives to examine early modern baiting in England </w:t>
      </w:r>
    </w:p>
    <w:p w:rsidR="00000000" w:rsidDel="00000000" w:rsidP="00000000" w:rsidRDefault="00000000" w:rsidRPr="00000000" w14:paraId="00000274">
      <w:pPr>
        <w:jc w:val="both"/>
        <w:rPr/>
      </w:pPr>
      <w:r w:rsidDel="00000000" w:rsidR="00000000" w:rsidRPr="00000000">
        <w:rPr>
          <w:rtl w:val="0"/>
        </w:rPr>
        <w:t xml:space="preserve">Animal baiting – the brutal activity of pitting of dogs against various kinds of animals, including bulls, bears and even lions – was, alongside going to the theatre, one of the most popular forms of entertainment during the Early Modern period in England. Southwark, on the south bank of the river Thames in London, was an area of focus for this activity and over the last 40 years numerous bear baiting arenas have been excavated here, with associated animal bone assemblages. The Box Office Bears project has been using the records and archaeological evidence associated with these arenas to examine the nature and role of animal baiting at this time, bringing together archival, zooarchaeological, isotopic and aDNA information to learn more about the lives of the animals involved. In this paper we focus on our zooarchaeological and isotope analyses. We re-studied animal bone assemblages associated with baiting arenas from Southwark which were dominated by dog and horse remains, and employed carbon (δ13C) and nitrogen (δ13N) isotopes in order to investigate the diet of the baiting dogs, as well as strontium (87Sr/86Sr) and oxygen (δ 18O) isotopes to look at their mobility. We will also show how these results are being integrated with other lines of evidence to create a holistic view of animal baiting and its role in society at this time.</w:t>
      </w:r>
    </w:p>
    <w:p w:rsidR="00000000" w:rsidDel="00000000" w:rsidP="00000000" w:rsidRDefault="00000000" w:rsidRPr="00000000" w14:paraId="00000275">
      <w:pPr>
        <w:jc w:val="both"/>
        <w:rPr>
          <w:i w:val="1"/>
        </w:rPr>
      </w:pPr>
      <w:r w:rsidDel="00000000" w:rsidR="00000000" w:rsidRPr="00000000">
        <w:rPr>
          <w:i w:val="1"/>
          <w:rtl w:val="0"/>
        </w:rPr>
        <w:t xml:space="preserve">Keywords: animal baiting, early modern period, England, carbon, nitrogen, strontium.</w:t>
      </w:r>
    </w:p>
    <w:p w:rsidR="00000000" w:rsidDel="00000000" w:rsidP="00000000" w:rsidRDefault="00000000" w:rsidRPr="00000000" w14:paraId="00000276">
      <w:pPr>
        <w:jc w:val="both"/>
        <w:rPr>
          <w:b w:val="1"/>
        </w:rPr>
      </w:pPr>
      <w:r w:rsidDel="00000000" w:rsidR="00000000" w:rsidRPr="00000000">
        <w:rPr>
          <w:rtl w:val="0"/>
        </w:rPr>
      </w:r>
    </w:p>
    <w:p w:rsidR="00000000" w:rsidDel="00000000" w:rsidP="00000000" w:rsidRDefault="00000000" w:rsidRPr="00000000" w14:paraId="00000277">
      <w:pPr>
        <w:jc w:val="both"/>
        <w:rPr/>
      </w:pPr>
      <w:r w:rsidDel="00000000" w:rsidR="00000000" w:rsidRPr="00000000">
        <w:rPr>
          <w:rtl w:val="0"/>
        </w:rPr>
      </w:r>
    </w:p>
    <w:p w:rsidR="00000000" w:rsidDel="00000000" w:rsidP="00000000" w:rsidRDefault="00000000" w:rsidRPr="00000000" w14:paraId="00000278">
      <w:pPr>
        <w:jc w:val="both"/>
        <w:rPr>
          <w:b w:val="1"/>
        </w:rPr>
      </w:pPr>
      <w:bookmarkStart w:colFirst="0" w:colLast="0" w:name="_heading=h.3znysh7" w:id="4"/>
      <w:bookmarkEnd w:id="4"/>
      <w:r w:rsidDel="00000000" w:rsidR="00000000" w:rsidRPr="00000000">
        <w:rPr>
          <w:b w:val="1"/>
          <w:rtl w:val="0"/>
        </w:rPr>
        <w:t xml:space="preserve">Nathalie Brusgaard1, Michael Dee1, Jildou Kooistr1, Lisette Kootker2, Mans Schepers1, Daan Raemaekers1, Canan Çakiırlar1</w:t>
      </w:r>
    </w:p>
    <w:p w:rsidR="00000000" w:rsidDel="00000000" w:rsidP="00000000" w:rsidRDefault="00000000" w:rsidRPr="00000000" w14:paraId="00000279">
      <w:pPr>
        <w:jc w:val="both"/>
        <w:rPr>
          <w:sz w:val="20"/>
          <w:szCs w:val="20"/>
        </w:rPr>
      </w:pPr>
      <w:r w:rsidDel="00000000" w:rsidR="00000000" w:rsidRPr="00000000">
        <w:rPr>
          <w:sz w:val="20"/>
          <w:szCs w:val="20"/>
          <w:rtl w:val="0"/>
        </w:rPr>
        <w:t xml:space="preserve">1University of Groningen, The Netherlands</w:t>
      </w:r>
    </w:p>
    <w:p w:rsidR="00000000" w:rsidDel="00000000" w:rsidP="00000000" w:rsidRDefault="00000000" w:rsidRPr="00000000" w14:paraId="0000027A">
      <w:pPr>
        <w:jc w:val="both"/>
        <w:rPr>
          <w:sz w:val="20"/>
          <w:szCs w:val="20"/>
        </w:rPr>
      </w:pPr>
      <w:r w:rsidDel="00000000" w:rsidR="00000000" w:rsidRPr="00000000">
        <w:rPr>
          <w:sz w:val="20"/>
          <w:szCs w:val="20"/>
          <w:rtl w:val="0"/>
        </w:rPr>
        <w:t xml:space="preserve">2Vrije Universiteit Amsterdam, The Netherlands</w:t>
      </w:r>
    </w:p>
    <w:p w:rsidR="00000000" w:rsidDel="00000000" w:rsidP="00000000" w:rsidRDefault="00000000" w:rsidRPr="00000000" w14:paraId="0000027B">
      <w:pPr>
        <w:jc w:val="both"/>
        <w:rPr/>
      </w:pPr>
      <w:r w:rsidDel="00000000" w:rsidR="00000000" w:rsidRPr="00000000">
        <w:rPr>
          <w:rtl w:val="0"/>
        </w:rPr>
      </w:r>
    </w:p>
    <w:p w:rsidR="00000000" w:rsidDel="00000000" w:rsidP="00000000" w:rsidRDefault="00000000" w:rsidRPr="00000000" w14:paraId="0000027C">
      <w:pPr>
        <w:jc w:val="both"/>
        <w:rPr>
          <w:u w:val="single"/>
        </w:rPr>
      </w:pPr>
      <w:r w:rsidDel="00000000" w:rsidR="00000000" w:rsidRPr="00000000">
        <w:rPr>
          <w:i w:val="1"/>
          <w:u w:val="single"/>
          <w:rtl w:val="0"/>
        </w:rPr>
        <w:t xml:space="preserve">The emergence of animal husbandry in northern Europe: new stable isotopic and zooarchaeological evidence from the Dutch wetlands</w:t>
      </w:r>
      <w:r w:rsidDel="00000000" w:rsidR="00000000" w:rsidRPr="00000000">
        <w:rPr>
          <w:rtl w:val="0"/>
        </w:rPr>
      </w:r>
    </w:p>
    <w:p w:rsidR="00000000" w:rsidDel="00000000" w:rsidP="00000000" w:rsidRDefault="00000000" w:rsidRPr="00000000" w14:paraId="0000027D">
      <w:pPr>
        <w:jc w:val="both"/>
        <w:rPr/>
      </w:pPr>
      <w:r w:rsidDel="00000000" w:rsidR="00000000" w:rsidRPr="00000000">
        <w:rPr>
          <w:rtl w:val="0"/>
        </w:rPr>
        <w:t xml:space="preserve">The transition from hunting-gathering to farming represents a fundamental shift in human subsistence and in the human-nonhuman relationship. The timing and nature of the emergence of animal husbandry in the Netherlands, north of the Linearbandkeramik zone, is unresolved. Despite a wealth of well-preserved sites and faunal assemblages, these Dutch wetlands have remained behind in the northern Europe debate, owing partly to the lack of new methodological applications and multi-proxy analyses. This paper presents the results of extensive stable isotopic (δ13C, δ15N, δ18O, 87Sr/86Sr) and zooarchaeological analyses carried out on Bos, Sus, and Ovis/Capra remains, integrated with archaeobotanical insights, from Neolithic Swifterbant Culture sites in the Dutch wetlands. These new data are part of the culmination of the 3-year project ‘The Emergence of Domesticated Animals in the Netherlands’, which contributes significant new information on the transition to farming in northern Europe. The stable isotopic and zooarchaeological analyses provide new insights into the nature of early animal husbandry and new perspectives on how human-animal relationships changed over time in this pivotal period. </w:t>
      </w:r>
    </w:p>
    <w:p w:rsidR="00000000" w:rsidDel="00000000" w:rsidP="00000000" w:rsidRDefault="00000000" w:rsidRPr="00000000" w14:paraId="0000027E">
      <w:pPr>
        <w:jc w:val="both"/>
        <w:rPr>
          <w:i w:val="1"/>
        </w:rPr>
      </w:pPr>
      <w:r w:rsidDel="00000000" w:rsidR="00000000" w:rsidRPr="00000000">
        <w:rPr>
          <w:i w:val="1"/>
          <w:rtl w:val="0"/>
        </w:rPr>
        <w:t xml:space="preserve">Keywords: Animal husbandry; Foragers; Neolithisation; Cattle; Pigs; Dutch wetlands; Human-animal interactions.</w:t>
      </w:r>
    </w:p>
    <w:p w:rsidR="00000000" w:rsidDel="00000000" w:rsidP="00000000" w:rsidRDefault="00000000" w:rsidRPr="00000000" w14:paraId="0000027F">
      <w:pPr>
        <w:jc w:val="both"/>
        <w:rPr>
          <w:b w:val="1"/>
        </w:rPr>
      </w:pPr>
      <w:r w:rsidDel="00000000" w:rsidR="00000000" w:rsidRPr="00000000">
        <w:rPr>
          <w:rtl w:val="0"/>
        </w:rPr>
      </w:r>
    </w:p>
    <w:p w:rsidR="00000000" w:rsidDel="00000000" w:rsidP="00000000" w:rsidRDefault="00000000" w:rsidRPr="00000000" w14:paraId="00000280">
      <w:pPr>
        <w:jc w:val="both"/>
        <w:rPr>
          <w:b w:val="1"/>
        </w:rPr>
      </w:pPr>
      <w:r w:rsidDel="00000000" w:rsidR="00000000" w:rsidRPr="00000000">
        <w:rPr>
          <w:rtl w:val="0"/>
        </w:rPr>
      </w:r>
    </w:p>
    <w:p w:rsidR="00000000" w:rsidDel="00000000" w:rsidP="00000000" w:rsidRDefault="00000000" w:rsidRPr="00000000" w14:paraId="00000281">
      <w:pPr>
        <w:jc w:val="both"/>
        <w:rPr>
          <w:b w:val="1"/>
        </w:rPr>
      </w:pPr>
      <w:bookmarkStart w:colFirst="0" w:colLast="0" w:name="_heading=h.2et92p0" w:id="5"/>
      <w:bookmarkEnd w:id="5"/>
      <w:r w:rsidDel="00000000" w:rsidR="00000000" w:rsidRPr="00000000">
        <w:rPr>
          <w:b w:val="1"/>
          <w:rtl w:val="0"/>
        </w:rPr>
        <w:t xml:space="preserve">Anastasia Brozou 1,*, Benjamin T. Fuller 2, Bea De Cupere 3, Anaïs Marrast 4, Hervé Monchot 5, Joris Peters 6, Katrien Van de Vijver 3, Olivier Lambert3, Marcello A. Mannino 7, Claudio Ottoni 1, *, Wim Van Neer 3 </w:t>
      </w:r>
    </w:p>
    <w:p w:rsidR="00000000" w:rsidDel="00000000" w:rsidP="00000000" w:rsidRDefault="00000000" w:rsidRPr="00000000" w14:paraId="00000282">
      <w:pPr>
        <w:jc w:val="both"/>
        <w:rPr>
          <w:sz w:val="20"/>
          <w:szCs w:val="20"/>
        </w:rPr>
      </w:pPr>
      <w:r w:rsidDel="00000000" w:rsidR="00000000" w:rsidRPr="00000000">
        <w:rPr>
          <w:sz w:val="20"/>
          <w:szCs w:val="20"/>
          <w:rtl w:val="0"/>
        </w:rPr>
        <w:t xml:space="preserve">1 Department of Biology, University of Rome “Tor Vergata”, Via della Ricerca Scientifica 1, 00133 Rome, Italy 2 Géosciences Environnement Toulouse, UMR 5563, CNRS, Observatoire Midi-Pyrénées; Toulouse, France 3 Operational Directorate Earth and History of Life, Royal Belgian Institute of Natural Sciences, Vautierstraat 29, 1000 Brussels, Belgium 4 UMR AASPE 7209, Muséum National d'Histoire Naturelle, CP 56, 43 rue Buffon, 75005 Paris, France 5 CNRS UMR 8167, Orient &amp; Méditerranée, 27 rue Paul Bert, 94200 Ivry-sur-Seine, France 6 ArchaeoBioCenter and Institute of Palaeoanatomy, Domestication Research, and the History of Veterinary Medicine, Ludwig Maximilian University Munich, 80539 Munich, Germany 7 Department of Archaeology and Heritage Studies, Aarhus University, Moesgård Allé 20, 8270 Højbjerg, Denmark </w:t>
      </w:r>
    </w:p>
    <w:p w:rsidR="00000000" w:rsidDel="00000000" w:rsidP="00000000" w:rsidRDefault="00000000" w:rsidRPr="00000000" w14:paraId="00000283">
      <w:pPr>
        <w:jc w:val="both"/>
        <w:rPr/>
      </w:pPr>
      <w:r w:rsidDel="00000000" w:rsidR="00000000" w:rsidRPr="00000000">
        <w:rPr>
          <w:rtl w:val="0"/>
        </w:rPr>
      </w:r>
    </w:p>
    <w:p w:rsidR="00000000" w:rsidDel="00000000" w:rsidP="00000000" w:rsidRDefault="00000000" w:rsidRPr="00000000" w14:paraId="00000284">
      <w:pPr>
        <w:jc w:val="both"/>
        <w:rPr>
          <w:i w:val="1"/>
          <w:u w:val="single"/>
        </w:rPr>
      </w:pPr>
      <w:r w:rsidDel="00000000" w:rsidR="00000000" w:rsidRPr="00000000">
        <w:rPr>
          <w:i w:val="1"/>
          <w:u w:val="single"/>
          <w:rtl w:val="0"/>
        </w:rPr>
        <w:t xml:space="preserve">Holy mackerel! Medieval harbour cats from Iran and Oman had differential access to marine fish</w:t>
      </w:r>
    </w:p>
    <w:p w:rsidR="00000000" w:rsidDel="00000000" w:rsidP="00000000" w:rsidRDefault="00000000" w:rsidRPr="00000000" w14:paraId="00000285">
      <w:pPr>
        <w:jc w:val="both"/>
        <w:rPr/>
      </w:pPr>
      <w:r w:rsidDel="00000000" w:rsidR="00000000" w:rsidRPr="00000000">
        <w:rPr>
          <w:rtl w:val="0"/>
        </w:rPr>
        <w:t xml:space="preserve">Being opportunistic animals, cats have adjusted to anthropogenic environments and enriched their food repertoire with meat from large terrestrial animals and fish. Although cats are skilled hunters, anthropogenic food comprises an important part of their diet when living in an urban centre, and, thus, their dietary reconstruction can provide information on regional food availabilities as well as their interactions with humans. With the aim to reconstruct the diet of cats from two medieval harbours in the Arabian Gulf and the Gulf of Oman (Siraf in Iran and Qalhât in Oman), we conducted carbon and nitrogen stable isotope ratio analysis on 28 cats and more than 100 associated faunal samples. Tens of cat remains have been discovered at both sites, which have historical and archaeological evidence for a long tradition in seafaring and sea fishing. The isotopic results reveal a high marine protein-based diet for the cats from Qalhât and a mixed marine-terrestrial (C4) diet for the cats from Siraf. Cats at both sites were most likely scavenging on both human food scraps and refuse related to fishing activities, with differences in the two areas most likely associated with the local availability of marine resources. By shedding light on the dietary habits of cats from two medieval harbours in the Arabian Gulf and the Gulf of Oman, our study illustrates the potential of stable isotope analysis in reconstructing human-cat interactions in the past.</w:t>
      </w:r>
    </w:p>
    <w:p w:rsidR="00000000" w:rsidDel="00000000" w:rsidP="00000000" w:rsidRDefault="00000000" w:rsidRPr="00000000" w14:paraId="00000286">
      <w:pPr>
        <w:jc w:val="both"/>
        <w:rPr>
          <w:i w:val="1"/>
        </w:rPr>
      </w:pPr>
      <w:r w:rsidDel="00000000" w:rsidR="00000000" w:rsidRPr="00000000">
        <w:rPr>
          <w:i w:val="1"/>
          <w:rtl w:val="0"/>
        </w:rPr>
        <w:t xml:space="preserve">Keywords: carbon; nitrogen; cat; diet; Qalhât; Siraf.</w:t>
      </w:r>
    </w:p>
    <w:p w:rsidR="00000000" w:rsidDel="00000000" w:rsidP="00000000" w:rsidRDefault="00000000" w:rsidRPr="00000000" w14:paraId="00000287">
      <w:pPr>
        <w:jc w:val="both"/>
        <w:rPr>
          <w:b w:val="1"/>
        </w:rPr>
      </w:pPr>
      <w:r w:rsidDel="00000000" w:rsidR="00000000" w:rsidRPr="00000000">
        <w:rPr>
          <w:rtl w:val="0"/>
        </w:rPr>
      </w:r>
    </w:p>
    <w:p w:rsidR="00000000" w:rsidDel="00000000" w:rsidP="00000000" w:rsidRDefault="00000000" w:rsidRPr="00000000" w14:paraId="00000288">
      <w:pPr>
        <w:jc w:val="both"/>
        <w:rPr>
          <w:b w:val="1"/>
        </w:rPr>
      </w:pPr>
      <w:r w:rsidDel="00000000" w:rsidR="00000000" w:rsidRPr="00000000">
        <w:rPr>
          <w:rtl w:val="0"/>
        </w:rPr>
      </w:r>
    </w:p>
    <w:p w:rsidR="00000000" w:rsidDel="00000000" w:rsidP="00000000" w:rsidRDefault="00000000" w:rsidRPr="00000000" w14:paraId="00000289">
      <w:pPr>
        <w:jc w:val="both"/>
        <w:rPr>
          <w:b w:val="1"/>
        </w:rPr>
      </w:pPr>
      <w:bookmarkStart w:colFirst="0" w:colLast="0" w:name="_heading=h.tyjcwt" w:id="6"/>
      <w:bookmarkEnd w:id="6"/>
      <w:r w:rsidDel="00000000" w:rsidR="00000000" w:rsidRPr="00000000">
        <w:rPr>
          <w:b w:val="1"/>
          <w:rtl w:val="0"/>
        </w:rPr>
        <w:t xml:space="preserve">Izzy Davis, Melanie Roffet-Salque</w:t>
      </w:r>
    </w:p>
    <w:p w:rsidR="00000000" w:rsidDel="00000000" w:rsidP="00000000" w:rsidRDefault="00000000" w:rsidRPr="00000000" w14:paraId="0000028A">
      <w:pPr>
        <w:jc w:val="both"/>
        <w:rPr>
          <w:sz w:val="20"/>
          <w:szCs w:val="20"/>
        </w:rPr>
      </w:pPr>
      <w:r w:rsidDel="00000000" w:rsidR="00000000" w:rsidRPr="00000000">
        <w:rPr>
          <w:sz w:val="20"/>
          <w:szCs w:val="20"/>
          <w:rtl w:val="0"/>
        </w:rPr>
        <w:t xml:space="preserve">Organic Geochemistry Unit, University of Bristol, United Kingdom</w:t>
      </w:r>
    </w:p>
    <w:p w:rsidR="00000000" w:rsidDel="00000000" w:rsidP="00000000" w:rsidRDefault="00000000" w:rsidRPr="00000000" w14:paraId="0000028B">
      <w:pPr>
        <w:jc w:val="both"/>
        <w:rPr>
          <w:i w:val="1"/>
        </w:rPr>
      </w:pPr>
      <w:r w:rsidDel="00000000" w:rsidR="00000000" w:rsidRPr="00000000">
        <w:rPr>
          <w:rtl w:val="0"/>
        </w:rPr>
      </w:r>
    </w:p>
    <w:p w:rsidR="00000000" w:rsidDel="00000000" w:rsidP="00000000" w:rsidRDefault="00000000" w:rsidRPr="00000000" w14:paraId="0000028C">
      <w:pPr>
        <w:jc w:val="both"/>
        <w:rPr>
          <w:i w:val="1"/>
          <w:u w:val="single"/>
        </w:rPr>
      </w:pPr>
      <w:r w:rsidDel="00000000" w:rsidR="00000000" w:rsidRPr="00000000">
        <w:rPr>
          <w:i w:val="1"/>
          <w:u w:val="single"/>
          <w:rtl w:val="0"/>
        </w:rPr>
        <w:t xml:space="preserve">Molecular and isotopic approaches to the investigation of freshwater resource use by early central European farmers</w:t>
      </w:r>
    </w:p>
    <w:p w:rsidR="00000000" w:rsidDel="00000000" w:rsidP="00000000" w:rsidRDefault="00000000" w:rsidRPr="00000000" w14:paraId="0000028D">
      <w:pPr>
        <w:jc w:val="both"/>
        <w:rPr/>
      </w:pPr>
      <w:r w:rsidDel="00000000" w:rsidR="00000000" w:rsidRPr="00000000">
        <w:rPr>
          <w:rtl w:val="0"/>
        </w:rPr>
        <w:t xml:space="preserve">The exploitation of freshwater fish and other aquatic resources can be difficult to identify in the archaeological record. Zooarchaeological assemblages may not provide an accurate insight into freshwater exploitation due to inadequate recovery methods and poor preservation of fish remains. Stable isotope analysis of human collagen can be used to identify freshwater dietary contributions, but the method can be limited for identifying low levels of exploitation. However, it is possible to directly detect the processing of aquatic resources in archaeological pottery vessels through isotopic and molecular analysis of lipid residues. Lipids from aquatic and terrestrial sources can be differentiated using compound-specific stable carbon isotope analysis of fatty acids recovered from animal fat residues. Marine and terrestrial lipids show a clear difference in values, whereas lipids from freshwater sources show broad variation depending on the species and local environment. Even intensive exploitation of freshwater fish may not be evident in these isotopic values, and low levels of exploitation may be undetectable in vessels used for both freshwater and terrestrial products. Freshwater resource processing can also be identified through the detection of lipid biomarker compounds, which can be detected at low concentrations to reveal low levels of freshwater resource processing. Focusing on early Neolithic settlements located next to freshwater environments, we investigate the exploitation of these resources by the first farming populations in central Europe. Pottery lipid residues are analysed using high-sensitivity gas chromatography-quadrupole-time-of-flight-mass spectrometry (GC-qTOFMS) for aquatic biomarker detection, combined with compound-specific stable carbon isotope analysis. Results are compared to zooarchaeological remains and stable isotope analysis of human collagen and provide new insights into the use of freshwater resources by early farmers.</w:t>
      </w:r>
    </w:p>
    <w:p w:rsidR="00000000" w:rsidDel="00000000" w:rsidP="00000000" w:rsidRDefault="00000000" w:rsidRPr="00000000" w14:paraId="0000028E">
      <w:pPr>
        <w:jc w:val="both"/>
        <w:rPr>
          <w:i w:val="1"/>
        </w:rPr>
      </w:pPr>
      <w:r w:rsidDel="00000000" w:rsidR="00000000" w:rsidRPr="00000000">
        <w:rPr>
          <w:i w:val="1"/>
          <w:rtl w:val="0"/>
        </w:rPr>
        <w:t xml:space="preserve">Keywords: fishing, freshwater, farming, aquatic biomarkers, pottery, early Neolithic.</w:t>
      </w:r>
    </w:p>
    <w:p w:rsidR="00000000" w:rsidDel="00000000" w:rsidP="00000000" w:rsidRDefault="00000000" w:rsidRPr="00000000" w14:paraId="0000028F">
      <w:pPr>
        <w:jc w:val="both"/>
        <w:rPr/>
      </w:pPr>
      <w:r w:rsidDel="00000000" w:rsidR="00000000" w:rsidRPr="00000000">
        <w:rPr>
          <w:rtl w:val="0"/>
        </w:rPr>
      </w:r>
    </w:p>
    <w:p w:rsidR="00000000" w:rsidDel="00000000" w:rsidP="00000000" w:rsidRDefault="00000000" w:rsidRPr="00000000" w14:paraId="00000290">
      <w:pPr>
        <w:jc w:val="both"/>
        <w:rPr/>
      </w:pPr>
      <w:r w:rsidDel="00000000" w:rsidR="00000000" w:rsidRPr="00000000">
        <w:rPr>
          <w:rtl w:val="0"/>
        </w:rPr>
      </w:r>
    </w:p>
    <w:p w:rsidR="00000000" w:rsidDel="00000000" w:rsidP="00000000" w:rsidRDefault="00000000" w:rsidRPr="00000000" w14:paraId="00000291">
      <w:pPr>
        <w:jc w:val="both"/>
        <w:rPr>
          <w:b w:val="1"/>
        </w:rPr>
      </w:pPr>
      <w:bookmarkStart w:colFirst="0" w:colLast="0" w:name="_heading=h.3dy6vkm" w:id="7"/>
      <w:bookmarkEnd w:id="7"/>
      <w:r w:rsidDel="00000000" w:rsidR="00000000" w:rsidRPr="00000000">
        <w:rPr>
          <w:b w:val="1"/>
          <w:rtl w:val="0"/>
        </w:rPr>
        <w:t xml:space="preserve">Richard Madgwick1, Carmen Esposito1, Angela Lamb2 </w:t>
      </w:r>
    </w:p>
    <w:p w:rsidR="00000000" w:rsidDel="00000000" w:rsidP="00000000" w:rsidRDefault="00000000" w:rsidRPr="00000000" w14:paraId="00000292">
      <w:pPr>
        <w:jc w:val="both"/>
        <w:rPr>
          <w:sz w:val="20"/>
          <w:szCs w:val="20"/>
        </w:rPr>
      </w:pPr>
      <w:r w:rsidDel="00000000" w:rsidR="00000000" w:rsidRPr="00000000">
        <w:rPr>
          <w:sz w:val="20"/>
          <w:szCs w:val="20"/>
          <w:rtl w:val="0"/>
        </w:rPr>
        <w:t xml:space="preserve">1Cardiff University, United Kingdom</w:t>
      </w:r>
    </w:p>
    <w:p w:rsidR="00000000" w:rsidDel="00000000" w:rsidP="00000000" w:rsidRDefault="00000000" w:rsidRPr="00000000" w14:paraId="00000293">
      <w:pPr>
        <w:jc w:val="both"/>
        <w:rPr>
          <w:sz w:val="20"/>
          <w:szCs w:val="20"/>
        </w:rPr>
      </w:pPr>
      <w:r w:rsidDel="00000000" w:rsidR="00000000" w:rsidRPr="00000000">
        <w:rPr>
          <w:sz w:val="20"/>
          <w:szCs w:val="20"/>
          <w:rtl w:val="0"/>
        </w:rPr>
        <w:t xml:space="preserve">2NEIF, British Geological Survey, United Kingdom</w:t>
      </w:r>
    </w:p>
    <w:p w:rsidR="00000000" w:rsidDel="00000000" w:rsidP="00000000" w:rsidRDefault="00000000" w:rsidRPr="00000000" w14:paraId="00000294">
      <w:pPr>
        <w:jc w:val="both"/>
        <w:rPr/>
      </w:pPr>
      <w:r w:rsidDel="00000000" w:rsidR="00000000" w:rsidRPr="00000000">
        <w:rPr>
          <w:rtl w:val="0"/>
        </w:rPr>
      </w:r>
    </w:p>
    <w:p w:rsidR="00000000" w:rsidDel="00000000" w:rsidP="00000000" w:rsidRDefault="00000000" w:rsidRPr="00000000" w14:paraId="00000295">
      <w:pPr>
        <w:jc w:val="both"/>
        <w:rPr>
          <w:i w:val="1"/>
          <w:u w:val="single"/>
        </w:rPr>
      </w:pPr>
      <w:r w:rsidDel="00000000" w:rsidR="00000000" w:rsidRPr="00000000">
        <w:rPr>
          <w:i w:val="1"/>
          <w:u w:val="single"/>
          <w:rtl w:val="0"/>
        </w:rPr>
        <w:t xml:space="preserve">Feasting networks at the end of the Bronze Age in southern Britain: Exploring mobility and animal management </w:t>
      </w:r>
    </w:p>
    <w:p w:rsidR="00000000" w:rsidDel="00000000" w:rsidP="00000000" w:rsidRDefault="00000000" w:rsidRPr="00000000" w14:paraId="00000296">
      <w:pPr>
        <w:jc w:val="both"/>
        <w:rPr/>
      </w:pPr>
      <w:r w:rsidDel="00000000" w:rsidR="00000000" w:rsidRPr="00000000">
        <w:rPr>
          <w:rtl w:val="0"/>
        </w:rPr>
        <w:t xml:space="preserve">The Late Bronze Age saw the rise of a new site type in southern Britain, commonly termed a midden. These vast monumental mounds, some comprising millions of artefacts/ecofacts dominated by animal bone and ceramics, signal a societal refocus towards agricultural intensification and communal feasting on a grand scale. These sites hint at the coming together of vast numbers of people and animals for feasts, potentially providing anchors for new networks after the breakdown of links surrounding the production and trade of Bronze. In spite of the exceptional resource middens provide, they have been subject to relatively limited scientific study. Major questions remain surrounding the scale and nature of these networks, whether local, regional or wider, and also about the strategies employed to enhance agricultural productivity at a time of climatic deterioration. The FeastNet project, funded by the UK Arts and Humanities Research Council, is attempting to address these questions through a programme of multi-isotope analysis on fauna from two major regions of midden accumulation: the Vale of Pewsey and the Thames Valley. This paper presents data from six sites: East Chisenbury, Potterne, All Cannings Cross and Stanton St. Bernard in Wiltshire and Runnymede and Wallingford in the Thames Valley. The programme of strontium, oxygen, sulphur, carbon and nitrogen analysis demonstrates different site catchments and variable husbandry regimes across both sites and species. These data provide new insights on the problematic issue of how the economy and patterns of connectivity changed during this transitional phase.</w:t>
      </w:r>
    </w:p>
    <w:p w:rsidR="00000000" w:rsidDel="00000000" w:rsidP="00000000" w:rsidRDefault="00000000" w:rsidRPr="00000000" w14:paraId="00000297">
      <w:pPr>
        <w:jc w:val="both"/>
        <w:rPr>
          <w:i w:val="1"/>
        </w:rPr>
      </w:pPr>
      <w:r w:rsidDel="00000000" w:rsidR="00000000" w:rsidRPr="00000000">
        <w:rPr>
          <w:i w:val="1"/>
          <w:rtl w:val="0"/>
        </w:rPr>
        <w:t xml:space="preserve">Keywords: Bronze Age - Iron Age transition, Multi-isotope, Feasting, Connectivity.</w:t>
      </w:r>
    </w:p>
    <w:p w:rsidR="00000000" w:rsidDel="00000000" w:rsidP="00000000" w:rsidRDefault="00000000" w:rsidRPr="00000000" w14:paraId="00000298">
      <w:pPr>
        <w:jc w:val="both"/>
        <w:rPr/>
      </w:pPr>
      <w:r w:rsidDel="00000000" w:rsidR="00000000" w:rsidRPr="00000000">
        <w:rPr>
          <w:rtl w:val="0"/>
        </w:rPr>
      </w:r>
    </w:p>
    <w:p w:rsidR="00000000" w:rsidDel="00000000" w:rsidP="00000000" w:rsidRDefault="00000000" w:rsidRPr="00000000" w14:paraId="00000299">
      <w:pPr>
        <w:jc w:val="both"/>
        <w:rPr/>
      </w:pPr>
      <w:r w:rsidDel="00000000" w:rsidR="00000000" w:rsidRPr="00000000">
        <w:rPr>
          <w:rtl w:val="0"/>
        </w:rPr>
      </w:r>
    </w:p>
    <w:p w:rsidR="00000000" w:rsidDel="00000000" w:rsidP="00000000" w:rsidRDefault="00000000" w:rsidRPr="00000000" w14:paraId="0000029A">
      <w:pPr>
        <w:jc w:val="both"/>
        <w:rPr>
          <w:b w:val="1"/>
        </w:rPr>
      </w:pPr>
      <w:bookmarkStart w:colFirst="0" w:colLast="0" w:name="_heading=h.1t3h5sf" w:id="8"/>
      <w:bookmarkEnd w:id="8"/>
      <w:r w:rsidDel="00000000" w:rsidR="00000000" w:rsidRPr="00000000">
        <w:rPr>
          <w:b w:val="1"/>
          <w:rtl w:val="0"/>
        </w:rPr>
        <w:t xml:space="preserve">Magdalena Blanz1, Marie Balasse2, Delphine Frémondeau3, Erika Gál4, Anett Osztás4, Denis Fiorillo2, Eszter Bánffy5, Maria Ivanova1 </w:t>
      </w:r>
    </w:p>
    <w:p w:rsidR="00000000" w:rsidDel="00000000" w:rsidP="00000000" w:rsidRDefault="00000000" w:rsidRPr="00000000" w14:paraId="0000029B">
      <w:pPr>
        <w:jc w:val="both"/>
        <w:rPr>
          <w:sz w:val="20"/>
          <w:szCs w:val="20"/>
        </w:rPr>
      </w:pPr>
      <w:r w:rsidDel="00000000" w:rsidR="00000000" w:rsidRPr="00000000">
        <w:rPr>
          <w:sz w:val="20"/>
          <w:szCs w:val="20"/>
          <w:rtl w:val="0"/>
        </w:rPr>
        <w:t xml:space="preserve">1University of Vienna, Austria</w:t>
      </w:r>
    </w:p>
    <w:p w:rsidR="00000000" w:rsidDel="00000000" w:rsidP="00000000" w:rsidRDefault="00000000" w:rsidRPr="00000000" w14:paraId="0000029C">
      <w:pPr>
        <w:jc w:val="both"/>
        <w:rPr>
          <w:sz w:val="20"/>
          <w:szCs w:val="20"/>
        </w:rPr>
      </w:pPr>
      <w:r w:rsidDel="00000000" w:rsidR="00000000" w:rsidRPr="00000000">
        <w:rPr>
          <w:sz w:val="20"/>
          <w:szCs w:val="20"/>
          <w:rtl w:val="0"/>
        </w:rPr>
        <w:t xml:space="preserve">2Muséum national d'Histoire naturelle, CNRS, France</w:t>
      </w:r>
    </w:p>
    <w:p w:rsidR="00000000" w:rsidDel="00000000" w:rsidP="00000000" w:rsidRDefault="00000000" w:rsidRPr="00000000" w14:paraId="0000029D">
      <w:pPr>
        <w:jc w:val="both"/>
        <w:rPr>
          <w:sz w:val="20"/>
          <w:szCs w:val="20"/>
        </w:rPr>
      </w:pPr>
      <w:r w:rsidDel="00000000" w:rsidR="00000000" w:rsidRPr="00000000">
        <w:rPr>
          <w:sz w:val="20"/>
          <w:szCs w:val="20"/>
          <w:rtl w:val="0"/>
        </w:rPr>
        <w:t xml:space="preserve">3University of Leuven, Belgium</w:t>
      </w:r>
    </w:p>
    <w:p w:rsidR="00000000" w:rsidDel="00000000" w:rsidP="00000000" w:rsidRDefault="00000000" w:rsidRPr="00000000" w14:paraId="0000029E">
      <w:pPr>
        <w:jc w:val="both"/>
        <w:rPr>
          <w:sz w:val="20"/>
          <w:szCs w:val="20"/>
        </w:rPr>
      </w:pPr>
      <w:r w:rsidDel="00000000" w:rsidR="00000000" w:rsidRPr="00000000">
        <w:rPr>
          <w:sz w:val="20"/>
          <w:szCs w:val="20"/>
          <w:rtl w:val="0"/>
        </w:rPr>
        <w:t xml:space="preserve">4Eötvös Loránd Research Network, Hungary</w:t>
      </w:r>
    </w:p>
    <w:p w:rsidR="00000000" w:rsidDel="00000000" w:rsidP="00000000" w:rsidRDefault="00000000" w:rsidRPr="00000000" w14:paraId="0000029F">
      <w:pPr>
        <w:jc w:val="both"/>
        <w:rPr>
          <w:sz w:val="20"/>
          <w:szCs w:val="20"/>
        </w:rPr>
      </w:pPr>
      <w:r w:rsidDel="00000000" w:rsidR="00000000" w:rsidRPr="00000000">
        <w:rPr>
          <w:sz w:val="20"/>
          <w:szCs w:val="20"/>
          <w:rtl w:val="0"/>
        </w:rPr>
        <w:t xml:space="preserve">5Römisch-Germanische Kommission des Deutschen Archäologischen Instituts, Germany</w:t>
      </w:r>
    </w:p>
    <w:p w:rsidR="00000000" w:rsidDel="00000000" w:rsidP="00000000" w:rsidRDefault="00000000" w:rsidRPr="00000000" w14:paraId="000002A0">
      <w:pPr>
        <w:jc w:val="both"/>
        <w:rPr/>
      </w:pPr>
      <w:r w:rsidDel="00000000" w:rsidR="00000000" w:rsidRPr="00000000">
        <w:rPr>
          <w:rtl w:val="0"/>
        </w:rPr>
      </w:r>
    </w:p>
    <w:p w:rsidR="00000000" w:rsidDel="00000000" w:rsidP="00000000" w:rsidRDefault="00000000" w:rsidRPr="00000000" w14:paraId="000002A1">
      <w:pPr>
        <w:jc w:val="both"/>
        <w:rPr>
          <w:i w:val="1"/>
          <w:u w:val="single"/>
        </w:rPr>
      </w:pPr>
      <w:r w:rsidDel="00000000" w:rsidR="00000000" w:rsidRPr="00000000">
        <w:rPr>
          <w:i w:val="1"/>
          <w:u w:val="single"/>
          <w:rtl w:val="0"/>
        </w:rPr>
        <w:t xml:space="preserve">Livestock diets at the Early Neolithic Starčevo site of Alsónyék-Bátaszék, Hungary</w:t>
      </w:r>
    </w:p>
    <w:p w:rsidR="00000000" w:rsidDel="00000000" w:rsidP="00000000" w:rsidRDefault="00000000" w:rsidRPr="00000000" w14:paraId="000002A2">
      <w:pPr>
        <w:jc w:val="both"/>
        <w:rPr/>
      </w:pPr>
      <w:r w:rsidDel="00000000" w:rsidR="00000000" w:rsidRPr="00000000">
        <w:rPr>
          <w:rtl w:val="0"/>
        </w:rPr>
        <w:t xml:space="preserve">Little is known about how the earliest farmers in the Carpathian basin kept their domestic stock. The Starčevo settlement at Alsónyék-Bátaszék (Early Neolithic, ca. 5800-5500 cal BC), Hungary, offers an opportunity to study this early animal management. Lying at the intersection of forested hills and cropland to the west, and wide alluvial plains, marshes and waterlogged meadows to the east, early farmers at Alsónyék-Bátaszék had plentiful options to choose from to nourish their stock. The aim of this study was to investigate domestic animal diets (supported by data on wild animal diets), in order to determine the place of different animals in the landscape, and the dietary variability within each species.</w:t>
      </w:r>
    </w:p>
    <w:p w:rsidR="00000000" w:rsidDel="00000000" w:rsidP="00000000" w:rsidRDefault="00000000" w:rsidRPr="00000000" w14:paraId="000002A3">
      <w:pPr>
        <w:jc w:val="both"/>
        <w:rPr/>
      </w:pPr>
      <w:r w:rsidDel="00000000" w:rsidR="00000000" w:rsidRPr="00000000">
        <w:rPr>
          <w:rtl w:val="0"/>
        </w:rPr>
        <w:t xml:space="preserve">Bone collagen samples (n=99) of pigs, cattle, sheep, dogs, red deer, roe deer, wild boar, foxes, and freshwater fish were analysed for δ¹³C and δ¹⁵N to investigate overall dietary trends between species and individuals, and sequential tooth enamel samples (n(teeth)=28) of cattle, sheep, wild boar, red deer and a pig were analysed for δ¹³C and δ¹⁸O to gain insight into seasonal dietary changes.</w:t>
      </w:r>
    </w:p>
    <w:p w:rsidR="00000000" w:rsidDel="00000000" w:rsidP="00000000" w:rsidRDefault="00000000" w:rsidRPr="00000000" w14:paraId="000002A4">
      <w:pPr>
        <w:jc w:val="both"/>
        <w:rPr/>
      </w:pPr>
      <w:r w:rsidDel="00000000" w:rsidR="00000000" w:rsidRPr="00000000">
        <w:rPr>
          <w:rtl w:val="0"/>
        </w:rPr>
        <w:t xml:space="preserve">The results indicate largely similar dietary isotope ratios for the studied mammals, consistent with feeding in terrestrial C3 environments. However, the sequential enamel results for cattle and sheep indicate three different dietary strategies for winters used in parallel: a) consumption of resources from an open environment, b) consumption of forest resources and c) consumption of summer hay. Pig isotope ratio results indicate largely herbivorous diets for most pigs, but several individuals likely had their diets supplemented with animal protein or fertilised crops.</w:t>
      </w:r>
    </w:p>
    <w:p w:rsidR="00000000" w:rsidDel="00000000" w:rsidP="00000000" w:rsidRDefault="00000000" w:rsidRPr="00000000" w14:paraId="000002A5">
      <w:pPr>
        <w:jc w:val="both"/>
        <w:rPr/>
      </w:pPr>
      <w:r w:rsidDel="00000000" w:rsidR="00000000" w:rsidRPr="00000000">
        <w:rPr>
          <w:rtl w:val="0"/>
        </w:rPr>
        <w:t xml:space="preserve">In conclusion, the early dietary management of domestic stock at Alsónyék-Bátaszék appears to have been very variable, without specialisations for specific species being visible in the stable isotope ratio data.</w:t>
      </w:r>
    </w:p>
    <w:p w:rsidR="00000000" w:rsidDel="00000000" w:rsidP="00000000" w:rsidRDefault="00000000" w:rsidRPr="00000000" w14:paraId="000002A6">
      <w:pPr>
        <w:jc w:val="both"/>
        <w:rPr>
          <w:i w:val="1"/>
        </w:rPr>
      </w:pPr>
      <w:r w:rsidDel="00000000" w:rsidR="00000000" w:rsidRPr="00000000">
        <w:rPr>
          <w:i w:val="1"/>
          <w:rtl w:val="0"/>
        </w:rPr>
        <w:t xml:space="preserve">Keywords: Domestic animal diets; wild animal diets; Early Neolithic; landuse.</w:t>
      </w:r>
    </w:p>
    <w:p w:rsidR="00000000" w:rsidDel="00000000" w:rsidP="00000000" w:rsidRDefault="00000000" w:rsidRPr="00000000" w14:paraId="000002A7">
      <w:pPr>
        <w:jc w:val="both"/>
        <w:rPr/>
      </w:pPr>
      <w:r w:rsidDel="00000000" w:rsidR="00000000" w:rsidRPr="00000000">
        <w:rPr>
          <w:rtl w:val="0"/>
        </w:rPr>
      </w:r>
    </w:p>
    <w:p w:rsidR="00000000" w:rsidDel="00000000" w:rsidP="00000000" w:rsidRDefault="00000000" w:rsidRPr="00000000" w14:paraId="000002A8">
      <w:pPr>
        <w:jc w:val="both"/>
        <w:rPr/>
      </w:pPr>
      <w:r w:rsidDel="00000000" w:rsidR="00000000" w:rsidRPr="00000000">
        <w:rPr>
          <w:rtl w:val="0"/>
        </w:rPr>
      </w:r>
    </w:p>
    <w:p w:rsidR="00000000" w:rsidDel="00000000" w:rsidP="00000000" w:rsidRDefault="00000000" w:rsidRPr="00000000" w14:paraId="000002A9">
      <w:pPr>
        <w:jc w:val="both"/>
        <w:rPr>
          <w:b w:val="1"/>
        </w:rPr>
      </w:pPr>
      <w:bookmarkStart w:colFirst="0" w:colLast="0" w:name="_heading=h.w1x6hcrbp8tp" w:id="9"/>
      <w:bookmarkEnd w:id="9"/>
      <w:r w:rsidDel="00000000" w:rsidR="00000000" w:rsidRPr="00000000">
        <w:rPr>
          <w:rtl w:val="0"/>
        </w:rPr>
      </w:r>
    </w:p>
    <w:p w:rsidR="00000000" w:rsidDel="00000000" w:rsidP="00000000" w:rsidRDefault="00000000" w:rsidRPr="00000000" w14:paraId="000002AA">
      <w:pPr>
        <w:jc w:val="both"/>
        <w:rPr>
          <w:b w:val="1"/>
        </w:rPr>
      </w:pPr>
      <w:bookmarkStart w:colFirst="0" w:colLast="0" w:name="_heading=h.4d34og8" w:id="10"/>
      <w:bookmarkEnd w:id="10"/>
      <w:r w:rsidDel="00000000" w:rsidR="00000000" w:rsidRPr="00000000">
        <w:rPr>
          <w:b w:val="1"/>
          <w:rtl w:val="0"/>
        </w:rPr>
        <w:t xml:space="preserve">Blessing Chidimuro, Stuart Black</w:t>
      </w:r>
    </w:p>
    <w:p w:rsidR="00000000" w:rsidDel="00000000" w:rsidP="00000000" w:rsidRDefault="00000000" w:rsidRPr="00000000" w14:paraId="000002AB">
      <w:pPr>
        <w:jc w:val="both"/>
        <w:rPr>
          <w:sz w:val="20"/>
          <w:szCs w:val="20"/>
        </w:rPr>
      </w:pPr>
      <w:r w:rsidDel="00000000" w:rsidR="00000000" w:rsidRPr="00000000">
        <w:rPr>
          <w:sz w:val="20"/>
          <w:szCs w:val="20"/>
          <w:rtl w:val="0"/>
        </w:rPr>
        <w:t xml:space="preserve">University of Reading, United Kingdom</w:t>
      </w:r>
    </w:p>
    <w:p w:rsidR="00000000" w:rsidDel="00000000" w:rsidP="00000000" w:rsidRDefault="00000000" w:rsidRPr="00000000" w14:paraId="000002AC">
      <w:pPr>
        <w:jc w:val="both"/>
        <w:rPr>
          <w:b w:val="1"/>
        </w:rPr>
      </w:pPr>
      <w:r w:rsidDel="00000000" w:rsidR="00000000" w:rsidRPr="00000000">
        <w:rPr>
          <w:rtl w:val="0"/>
        </w:rPr>
      </w:r>
    </w:p>
    <w:p w:rsidR="00000000" w:rsidDel="00000000" w:rsidP="00000000" w:rsidRDefault="00000000" w:rsidRPr="00000000" w14:paraId="000002AD">
      <w:pPr>
        <w:jc w:val="both"/>
        <w:rPr>
          <w:u w:val="single"/>
        </w:rPr>
      </w:pPr>
      <w:r w:rsidDel="00000000" w:rsidR="00000000" w:rsidRPr="00000000">
        <w:rPr>
          <w:i w:val="1"/>
          <w:u w:val="single"/>
          <w:rtl w:val="0"/>
        </w:rPr>
        <w:t xml:space="preserve">The Red Fox (Vulpes vulpes): Dietary reconstruction from stable isotope analysis of archaeological and modern fox remains</w:t>
      </w:r>
      <w:r w:rsidDel="00000000" w:rsidR="00000000" w:rsidRPr="00000000">
        <w:rPr>
          <w:u w:val="single"/>
          <w:rtl w:val="0"/>
        </w:rPr>
        <w:t xml:space="preserve"> </w:t>
      </w:r>
    </w:p>
    <w:p w:rsidR="00000000" w:rsidDel="00000000" w:rsidP="00000000" w:rsidRDefault="00000000" w:rsidRPr="00000000" w14:paraId="000002AE">
      <w:pPr>
        <w:jc w:val="both"/>
        <w:rPr/>
      </w:pPr>
      <w:r w:rsidDel="00000000" w:rsidR="00000000" w:rsidRPr="00000000">
        <w:rPr>
          <w:rtl w:val="0"/>
        </w:rPr>
        <w:t xml:space="preserve">The red fox (Vulpes vulpes) is the most widely distributed carnivore in the Northern Hemisphere and introduced populations are present in parts of Australia and North America. There is substantial evidence from archaeological burials and excavations that the red fox has been closely associated with humans for a long time, either being extensively hunted as a pest or for their fur, meat, and teeth in some societies. In the United Kingdom, many occur in Roman burials and excavations, with numerous burials having both dogs and foxes present. To explore this association between humans and foxes in the past, bone collagen (δ13C, δ15N) analysis on archaeological foxes was analysed to find any evidence regarding the human feeding of foxes. Additionally, we also analysed modern fox diets in London. Since the 1930s, foxes have colonised cities and the modern relationship between humans and foxes is complex. There appears to be a current urban-rural divide with ‘bin-diving’ urban foxes feeding differently from their wild, rural counterparts. We examined differences in diet between the modern urban and rural foxes through stable isotope analysis of bone and tooth enamel to determine the human impact on the diets of present-day foxes. Furthermore, we explored the differences between archaeological and modern foxes. Here we present data obtained from the stable isotope analyses of bone and tooth samples from archaeological and modern foxes, to identify if there are any differences between the archaeological and modern foxes and differences between rural and urban populations in modern foxes.</w:t>
      </w:r>
    </w:p>
    <w:p w:rsidR="00000000" w:rsidDel="00000000" w:rsidP="00000000" w:rsidRDefault="00000000" w:rsidRPr="00000000" w14:paraId="000002AF">
      <w:pPr>
        <w:jc w:val="both"/>
        <w:rPr>
          <w:i w:val="1"/>
        </w:rPr>
      </w:pPr>
      <w:r w:rsidDel="00000000" w:rsidR="00000000" w:rsidRPr="00000000">
        <w:rPr>
          <w:i w:val="1"/>
          <w:rtl w:val="0"/>
        </w:rPr>
        <w:t xml:space="preserve">Keywords: Foxes, isotopes, bone collagen, enamel carbonate, diet.</w:t>
      </w:r>
    </w:p>
    <w:p w:rsidR="00000000" w:rsidDel="00000000" w:rsidP="00000000" w:rsidRDefault="00000000" w:rsidRPr="00000000" w14:paraId="000002B0">
      <w:pPr>
        <w:jc w:val="both"/>
        <w:rPr>
          <w:b w:val="1"/>
        </w:rPr>
      </w:pPr>
      <w:r w:rsidDel="00000000" w:rsidR="00000000" w:rsidRPr="00000000">
        <w:rPr>
          <w:rtl w:val="0"/>
        </w:rPr>
      </w:r>
    </w:p>
    <w:p w:rsidR="00000000" w:rsidDel="00000000" w:rsidP="00000000" w:rsidRDefault="00000000" w:rsidRPr="00000000" w14:paraId="000002B1">
      <w:pPr>
        <w:jc w:val="both"/>
        <w:rPr>
          <w:b w:val="1"/>
        </w:rPr>
      </w:pPr>
      <w:r w:rsidDel="00000000" w:rsidR="00000000" w:rsidRPr="00000000">
        <w:rPr>
          <w:rtl w:val="0"/>
        </w:rPr>
      </w:r>
    </w:p>
    <w:p w:rsidR="00000000" w:rsidDel="00000000" w:rsidP="00000000" w:rsidRDefault="00000000" w:rsidRPr="00000000" w14:paraId="000002B2">
      <w:pPr>
        <w:jc w:val="both"/>
        <w:rPr>
          <w:b w:val="1"/>
        </w:rPr>
      </w:pPr>
      <w:bookmarkStart w:colFirst="0" w:colLast="0" w:name="_heading=h.2s8eyo1" w:id="11"/>
      <w:bookmarkEnd w:id="11"/>
      <w:r w:rsidDel="00000000" w:rsidR="00000000" w:rsidRPr="00000000">
        <w:rPr>
          <w:b w:val="1"/>
          <w:rtl w:val="0"/>
        </w:rPr>
        <w:t xml:space="preserve">Hannah Chazin</w:t>
      </w:r>
    </w:p>
    <w:p w:rsidR="00000000" w:rsidDel="00000000" w:rsidP="00000000" w:rsidRDefault="00000000" w:rsidRPr="00000000" w14:paraId="000002B3">
      <w:pPr>
        <w:jc w:val="both"/>
        <w:rPr>
          <w:sz w:val="20"/>
          <w:szCs w:val="20"/>
        </w:rPr>
      </w:pPr>
      <w:r w:rsidDel="00000000" w:rsidR="00000000" w:rsidRPr="00000000">
        <w:rPr>
          <w:sz w:val="20"/>
          <w:szCs w:val="20"/>
          <w:rtl w:val="0"/>
        </w:rPr>
        <w:t xml:space="preserve">Columbia University, USA</w:t>
      </w:r>
    </w:p>
    <w:p w:rsidR="00000000" w:rsidDel="00000000" w:rsidP="00000000" w:rsidRDefault="00000000" w:rsidRPr="00000000" w14:paraId="000002B4">
      <w:pPr>
        <w:jc w:val="both"/>
        <w:rPr>
          <w:b w:val="1"/>
          <w:u w:val="single"/>
        </w:rPr>
      </w:pPr>
      <w:r w:rsidDel="00000000" w:rsidR="00000000" w:rsidRPr="00000000">
        <w:rPr>
          <w:rtl w:val="0"/>
        </w:rPr>
      </w:r>
    </w:p>
    <w:p w:rsidR="00000000" w:rsidDel="00000000" w:rsidP="00000000" w:rsidRDefault="00000000" w:rsidRPr="00000000" w14:paraId="000002B5">
      <w:pPr>
        <w:jc w:val="both"/>
        <w:rPr>
          <w:i w:val="1"/>
          <w:u w:val="single"/>
        </w:rPr>
      </w:pPr>
      <w:r w:rsidDel="00000000" w:rsidR="00000000" w:rsidRPr="00000000">
        <w:rPr>
          <w:i w:val="1"/>
          <w:u w:val="single"/>
          <w:rtl w:val="0"/>
        </w:rPr>
        <w:t xml:space="preserve">Isotopic analysis of more-than-human worlds in the ancient South Caucasus </w:t>
      </w:r>
    </w:p>
    <w:p w:rsidR="00000000" w:rsidDel="00000000" w:rsidP="00000000" w:rsidRDefault="00000000" w:rsidRPr="00000000" w14:paraId="000002B6">
      <w:pPr>
        <w:jc w:val="both"/>
        <w:rPr/>
      </w:pPr>
      <w:r w:rsidDel="00000000" w:rsidR="00000000" w:rsidRPr="00000000">
        <w:rPr>
          <w:rtl w:val="0"/>
        </w:rPr>
        <w:t xml:space="preserve">Feeding and eating are key to scientific frameworks for the isotopic analysis of bones, teeth, and hair, which archaeologists have used to reveal detailed information about human and nonhuman diets, mobility, reproduction, and seasonality in the past. Feeding and eating are also crucial to non-anthropocentric and relational accounts of human-animal interactions, as evidenced by the important role that they’ve played in human-animal studies within and beyond anthropology. Attending to feeding and eating in zooarchaeological analyses creates a bridge between isotopic methods and the insights provided by critical social zooarchaeologies (and animal studies more broadly). Not only does this approach continue to move the isotopic study of animal remains beyond providing a baseline for studies of humans, embracing this rich theoretical-methodological nexus shifts the practices of data interpretation away from classificatory models towards forms of exploratory analysis of isotopic data that are more sensitive to historical and cultural contexts. In this paper, I discuss the results of the analysis of mass-dependent strontium and stable oxygen and carbon isotopes from cattle, sheep, and goat teeth from mid-2nd millennium BCE sites in the South Caucasus. These results are contextualized within other zooarchaeological and archaeological datasets, in order to interpret differences in diet, mobility, birth seasonality and age at death between these three species. Attending the importance of feeding and eating in shaping both the ecological and biological dynamics of the incorporation of isotopes into tooth enamel and the cultural context of herding practices and the consumption of pastoralist products produces a richer analysis of pastoralist practices than either alone.</w:t>
      </w:r>
    </w:p>
    <w:p w:rsidR="00000000" w:rsidDel="00000000" w:rsidP="00000000" w:rsidRDefault="00000000" w:rsidRPr="00000000" w14:paraId="000002B7">
      <w:pPr>
        <w:jc w:val="both"/>
        <w:rPr>
          <w:i w:val="1"/>
        </w:rPr>
      </w:pPr>
      <w:r w:rsidDel="00000000" w:rsidR="00000000" w:rsidRPr="00000000">
        <w:rPr>
          <w:i w:val="1"/>
          <w:rtl w:val="0"/>
        </w:rPr>
        <w:t xml:space="preserve">Keywords: Strontium, Oxygen, Carbon, Pastoralism, Human-Animal Relations, Caucasus.</w:t>
      </w:r>
    </w:p>
    <w:p w:rsidR="00000000" w:rsidDel="00000000" w:rsidP="00000000" w:rsidRDefault="00000000" w:rsidRPr="00000000" w14:paraId="000002B8">
      <w:pPr>
        <w:jc w:val="both"/>
        <w:rPr>
          <w:b w:val="1"/>
        </w:rPr>
      </w:pPr>
      <w:r w:rsidDel="00000000" w:rsidR="00000000" w:rsidRPr="00000000">
        <w:rPr>
          <w:rtl w:val="0"/>
        </w:rPr>
      </w:r>
    </w:p>
    <w:p w:rsidR="00000000" w:rsidDel="00000000" w:rsidP="00000000" w:rsidRDefault="00000000" w:rsidRPr="00000000" w14:paraId="000002B9">
      <w:pPr>
        <w:jc w:val="both"/>
        <w:rPr>
          <w:b w:val="1"/>
        </w:rPr>
      </w:pPr>
      <w:bookmarkStart w:colFirst="0" w:colLast="0" w:name="_heading=h.17dp8vu" w:id="12"/>
      <w:bookmarkEnd w:id="12"/>
      <w:r w:rsidDel="00000000" w:rsidR="00000000" w:rsidRPr="00000000">
        <w:rPr>
          <w:rtl w:val="0"/>
        </w:rPr>
      </w:r>
    </w:p>
    <w:p w:rsidR="00000000" w:rsidDel="00000000" w:rsidP="00000000" w:rsidRDefault="00000000" w:rsidRPr="00000000" w14:paraId="000002BA">
      <w:pPr>
        <w:jc w:val="both"/>
        <w:rPr>
          <w:b w:val="1"/>
        </w:rPr>
      </w:pPr>
      <w:r w:rsidDel="00000000" w:rsidR="00000000" w:rsidRPr="00000000">
        <w:rPr>
          <w:b w:val="1"/>
          <w:rtl w:val="0"/>
        </w:rPr>
        <w:t xml:space="preserve">Roger Alcàntara Fors1,2, Richard Madgwick2, Maria Saña Seguí1 </w:t>
      </w:r>
    </w:p>
    <w:p w:rsidR="00000000" w:rsidDel="00000000" w:rsidP="00000000" w:rsidRDefault="00000000" w:rsidRPr="00000000" w14:paraId="000002BB">
      <w:pPr>
        <w:jc w:val="both"/>
        <w:rPr>
          <w:sz w:val="20"/>
          <w:szCs w:val="20"/>
        </w:rPr>
      </w:pPr>
      <w:r w:rsidDel="00000000" w:rsidR="00000000" w:rsidRPr="00000000">
        <w:rPr>
          <w:sz w:val="20"/>
          <w:szCs w:val="20"/>
          <w:rtl w:val="0"/>
        </w:rPr>
        <w:t xml:space="preserve">1Universitat Autònoma de Barcelon, Spain</w:t>
      </w:r>
    </w:p>
    <w:p w:rsidR="00000000" w:rsidDel="00000000" w:rsidP="00000000" w:rsidRDefault="00000000" w:rsidRPr="00000000" w14:paraId="000002BC">
      <w:pPr>
        <w:jc w:val="both"/>
        <w:rPr>
          <w:sz w:val="20"/>
          <w:szCs w:val="20"/>
        </w:rPr>
      </w:pPr>
      <w:r w:rsidDel="00000000" w:rsidR="00000000" w:rsidRPr="00000000">
        <w:rPr>
          <w:sz w:val="20"/>
          <w:szCs w:val="20"/>
          <w:rtl w:val="0"/>
        </w:rPr>
        <w:t xml:space="preserve">2Cardiff University, United Kingdom</w:t>
      </w:r>
    </w:p>
    <w:p w:rsidR="00000000" w:rsidDel="00000000" w:rsidP="00000000" w:rsidRDefault="00000000" w:rsidRPr="00000000" w14:paraId="000002BD">
      <w:pPr>
        <w:jc w:val="both"/>
        <w:rPr>
          <w:b w:val="1"/>
        </w:rPr>
      </w:pPr>
      <w:r w:rsidDel="00000000" w:rsidR="00000000" w:rsidRPr="00000000">
        <w:rPr>
          <w:rtl w:val="0"/>
        </w:rPr>
      </w:r>
    </w:p>
    <w:p w:rsidR="00000000" w:rsidDel="00000000" w:rsidP="00000000" w:rsidRDefault="00000000" w:rsidRPr="00000000" w14:paraId="000002BE">
      <w:pPr>
        <w:jc w:val="both"/>
        <w:rPr>
          <w:i w:val="1"/>
          <w:u w:val="single"/>
        </w:rPr>
      </w:pPr>
      <w:r w:rsidDel="00000000" w:rsidR="00000000" w:rsidRPr="00000000">
        <w:rPr>
          <w:i w:val="1"/>
          <w:u w:val="single"/>
          <w:rtl w:val="0"/>
        </w:rPr>
        <w:t xml:space="preserve">Cattle on the rocks. Understanding cattle mobility and diet in the Middle Neolithic Cova de les Pixarelles (Tavertet, Osona)</w:t>
      </w:r>
    </w:p>
    <w:p w:rsidR="00000000" w:rsidDel="00000000" w:rsidP="00000000" w:rsidRDefault="00000000" w:rsidRPr="00000000" w14:paraId="000002BF">
      <w:pPr>
        <w:jc w:val="both"/>
        <w:rPr/>
      </w:pPr>
      <w:r w:rsidDel="00000000" w:rsidR="00000000" w:rsidRPr="00000000">
        <w:rPr>
          <w:rtl w:val="0"/>
        </w:rPr>
        <w:t xml:space="preserve">Animal mobility plays a key role in understanding animal domestication processes and the development of specialised husbandry. In this sense, human control over the degree of freedom of their herds is the basic tool to develop the animal management and exploitation practices that define how animals interact with nature: how they move, how far and what dietary sources they can access. The faunal assemblage from the Middle Neolithic (3930-3640 cal BC) level of Pixarelles Cave (Tavertet) represents an exceptional assemblage to understand changes in animal management strategies after domesticated animals were fully integrated in economic practices. With over an 80% of remains being Bos taurus, Cova de les Pixarelles is almost unique in the Iberian Peninsula, where caprines usually dominate. The archaeozoological analysis evidenced that cattle, but also sheep, goat and pig, were exploited for meat, as suggested by slaughter profiles and skeletal representation. The palaeopathological and biomechanics analyses suggest a cattle herd that was very mobile in the rocky terrain of the Tavertet mountains. This paper aims to attain a better understanding of cattle management strategies at Cova de les Pixarelles through an integrated isotopic approach using sequential Oxygen and Carbon analysis on cattle second and third lower molars as well as Carbon and Nitrogen stable isotopes on bone collagen. These data provide new information on seasonal mobility and diet of this cattle herd and are particularly informative when integrated with existing zooarchaeological and biomechanical data.</w:t>
      </w:r>
    </w:p>
    <w:p w:rsidR="00000000" w:rsidDel="00000000" w:rsidP="00000000" w:rsidRDefault="00000000" w:rsidRPr="00000000" w14:paraId="000002C0">
      <w:pPr>
        <w:jc w:val="both"/>
        <w:rPr>
          <w:i w:val="1"/>
        </w:rPr>
      </w:pPr>
      <w:r w:rsidDel="00000000" w:rsidR="00000000" w:rsidRPr="00000000">
        <w:rPr>
          <w:i w:val="1"/>
          <w:rtl w:val="0"/>
        </w:rPr>
        <w:t xml:space="preserve">Keywords: Middle Neolithic, Cattle, Mobility, Diet, Animal management.</w:t>
      </w:r>
    </w:p>
    <w:p w:rsidR="00000000" w:rsidDel="00000000" w:rsidP="00000000" w:rsidRDefault="00000000" w:rsidRPr="00000000" w14:paraId="000002C1">
      <w:pPr>
        <w:jc w:val="both"/>
        <w:rPr>
          <w:b w:val="1"/>
        </w:rPr>
      </w:pPr>
      <w:r w:rsidDel="00000000" w:rsidR="00000000" w:rsidRPr="00000000">
        <w:rPr>
          <w:rtl w:val="0"/>
        </w:rPr>
      </w:r>
    </w:p>
    <w:p w:rsidR="00000000" w:rsidDel="00000000" w:rsidP="00000000" w:rsidRDefault="00000000" w:rsidRPr="00000000" w14:paraId="000002C2">
      <w:pPr>
        <w:jc w:val="both"/>
        <w:rPr/>
      </w:pPr>
      <w:r w:rsidDel="00000000" w:rsidR="00000000" w:rsidRPr="00000000">
        <w:rPr>
          <w:rtl w:val="0"/>
        </w:rPr>
      </w:r>
    </w:p>
    <w:p w:rsidR="00000000" w:rsidDel="00000000" w:rsidP="00000000" w:rsidRDefault="00000000" w:rsidRPr="00000000" w14:paraId="000002C3">
      <w:pPr>
        <w:jc w:val="both"/>
        <w:rPr>
          <w:b w:val="1"/>
        </w:rPr>
      </w:pPr>
      <w:bookmarkStart w:colFirst="0" w:colLast="0" w:name="_heading=h.3rdcrjn" w:id="13"/>
      <w:bookmarkEnd w:id="13"/>
      <w:r w:rsidDel="00000000" w:rsidR="00000000" w:rsidRPr="00000000">
        <w:rPr>
          <w:b w:val="1"/>
          <w:rtl w:val="0"/>
        </w:rPr>
        <w:t xml:space="preserve">Donna de Groene1, Pamela Crabtree 2, Zenobie Garett 3, Susan Johnston4, Erin Crowley-Champoux5, Kerri Clearly6, Donal Murphy6, Trish Long7, Carmelita Troy7, Derek Hamilton8, Katharina Becker1</w:t>
      </w:r>
    </w:p>
    <w:p w:rsidR="00000000" w:rsidDel="00000000" w:rsidP="00000000" w:rsidRDefault="00000000" w:rsidRPr="00000000" w14:paraId="000002C4">
      <w:pPr>
        <w:jc w:val="both"/>
        <w:rPr>
          <w:sz w:val="20"/>
          <w:szCs w:val="20"/>
        </w:rPr>
      </w:pPr>
      <w:r w:rsidDel="00000000" w:rsidR="00000000" w:rsidRPr="00000000">
        <w:rPr>
          <w:sz w:val="20"/>
          <w:szCs w:val="20"/>
          <w:rtl w:val="0"/>
        </w:rPr>
        <w:t xml:space="preserve">1: Department of Archaeology, University College Cork.</w:t>
      </w:r>
    </w:p>
    <w:p w:rsidR="00000000" w:rsidDel="00000000" w:rsidP="00000000" w:rsidRDefault="00000000" w:rsidRPr="00000000" w14:paraId="000002C5">
      <w:pPr>
        <w:jc w:val="both"/>
        <w:rPr>
          <w:sz w:val="20"/>
          <w:szCs w:val="20"/>
        </w:rPr>
      </w:pPr>
      <w:r w:rsidDel="00000000" w:rsidR="00000000" w:rsidRPr="00000000">
        <w:rPr>
          <w:sz w:val="20"/>
          <w:szCs w:val="20"/>
          <w:rtl w:val="0"/>
        </w:rPr>
        <w:t xml:space="preserve">2: Institute for the Study of the Ancient World, Medieval Studies and Kevorkian Center, New York University</w:t>
      </w:r>
    </w:p>
    <w:p w:rsidR="00000000" w:rsidDel="00000000" w:rsidP="00000000" w:rsidRDefault="00000000" w:rsidRPr="00000000" w14:paraId="000002C6">
      <w:pPr>
        <w:jc w:val="both"/>
        <w:rPr>
          <w:sz w:val="20"/>
          <w:szCs w:val="20"/>
        </w:rPr>
      </w:pPr>
      <w:r w:rsidDel="00000000" w:rsidR="00000000" w:rsidRPr="00000000">
        <w:rPr>
          <w:sz w:val="20"/>
          <w:szCs w:val="20"/>
          <w:rtl w:val="0"/>
        </w:rPr>
        <w:t xml:space="preserve">3: Department of History, University of Limerick</w:t>
      </w:r>
    </w:p>
    <w:p w:rsidR="00000000" w:rsidDel="00000000" w:rsidP="00000000" w:rsidRDefault="00000000" w:rsidRPr="00000000" w14:paraId="000002C7">
      <w:pPr>
        <w:jc w:val="both"/>
        <w:rPr>
          <w:sz w:val="20"/>
          <w:szCs w:val="20"/>
        </w:rPr>
      </w:pPr>
      <w:r w:rsidDel="00000000" w:rsidR="00000000" w:rsidRPr="00000000">
        <w:rPr>
          <w:sz w:val="20"/>
          <w:szCs w:val="20"/>
          <w:rtl w:val="0"/>
        </w:rPr>
        <w:t xml:space="preserve">4: Department of Anthropology, George Washington University</w:t>
      </w:r>
    </w:p>
    <w:p w:rsidR="00000000" w:rsidDel="00000000" w:rsidP="00000000" w:rsidRDefault="00000000" w:rsidRPr="00000000" w14:paraId="000002C8">
      <w:pPr>
        <w:jc w:val="both"/>
        <w:rPr>
          <w:sz w:val="20"/>
          <w:szCs w:val="20"/>
        </w:rPr>
      </w:pPr>
      <w:r w:rsidDel="00000000" w:rsidR="00000000" w:rsidRPr="00000000">
        <w:rPr>
          <w:sz w:val="20"/>
          <w:szCs w:val="20"/>
          <w:rtl w:val="0"/>
        </w:rPr>
        <w:t xml:space="preserve">5: Department of Geography-Anthropology, University of Southern Maine </w:t>
      </w:r>
    </w:p>
    <w:p w:rsidR="00000000" w:rsidDel="00000000" w:rsidP="00000000" w:rsidRDefault="00000000" w:rsidRPr="00000000" w14:paraId="000002C9">
      <w:pPr>
        <w:jc w:val="both"/>
        <w:rPr>
          <w:sz w:val="20"/>
          <w:szCs w:val="20"/>
        </w:rPr>
      </w:pPr>
      <w:r w:rsidDel="00000000" w:rsidR="00000000" w:rsidRPr="00000000">
        <w:rPr>
          <w:sz w:val="20"/>
          <w:szCs w:val="20"/>
          <w:rtl w:val="0"/>
        </w:rPr>
        <w:t xml:space="preserve">6: Archaeological Consultancy Services Unit</w:t>
      </w:r>
    </w:p>
    <w:p w:rsidR="00000000" w:rsidDel="00000000" w:rsidP="00000000" w:rsidRDefault="00000000" w:rsidRPr="00000000" w14:paraId="000002CA">
      <w:pPr>
        <w:jc w:val="both"/>
        <w:rPr>
          <w:sz w:val="20"/>
          <w:szCs w:val="20"/>
        </w:rPr>
      </w:pPr>
      <w:r w:rsidDel="00000000" w:rsidR="00000000" w:rsidRPr="00000000">
        <w:rPr>
          <w:sz w:val="20"/>
          <w:szCs w:val="20"/>
          <w:rtl w:val="0"/>
        </w:rPr>
        <w:t xml:space="preserve">7: Rubicon Heritage</w:t>
      </w:r>
    </w:p>
    <w:p w:rsidR="00000000" w:rsidDel="00000000" w:rsidP="00000000" w:rsidRDefault="00000000" w:rsidRPr="00000000" w14:paraId="000002CB">
      <w:pPr>
        <w:jc w:val="both"/>
        <w:rPr>
          <w:sz w:val="20"/>
          <w:szCs w:val="20"/>
        </w:rPr>
      </w:pPr>
      <w:r w:rsidDel="00000000" w:rsidR="00000000" w:rsidRPr="00000000">
        <w:rPr>
          <w:sz w:val="20"/>
          <w:szCs w:val="20"/>
          <w:rtl w:val="0"/>
        </w:rPr>
        <w:t xml:space="preserve">8: Scottish Universities Environmental Research Centre, University of Glasgow.</w:t>
      </w:r>
    </w:p>
    <w:p w:rsidR="00000000" w:rsidDel="00000000" w:rsidP="00000000" w:rsidRDefault="00000000" w:rsidRPr="00000000" w14:paraId="000002CC">
      <w:pPr>
        <w:jc w:val="both"/>
        <w:rPr>
          <w:u w:val="single"/>
        </w:rPr>
      </w:pPr>
      <w:r w:rsidDel="00000000" w:rsidR="00000000" w:rsidRPr="00000000">
        <w:rPr>
          <w:rtl w:val="0"/>
        </w:rPr>
      </w:r>
    </w:p>
    <w:p w:rsidR="00000000" w:rsidDel="00000000" w:rsidP="00000000" w:rsidRDefault="00000000" w:rsidRPr="00000000" w14:paraId="000002CD">
      <w:pPr>
        <w:shd w:fill="ffffff" w:val="clear"/>
        <w:spacing w:line="240" w:lineRule="auto"/>
        <w:rPr>
          <w:i w:val="1"/>
          <w:color w:val="212121"/>
          <w:u w:val="single"/>
        </w:rPr>
      </w:pPr>
      <w:r w:rsidDel="00000000" w:rsidR="00000000" w:rsidRPr="00000000">
        <w:rPr>
          <w:i w:val="1"/>
          <w:color w:val="000000"/>
          <w:highlight w:val="white"/>
          <w:u w:val="single"/>
          <w:rtl w:val="0"/>
        </w:rPr>
        <w:t xml:space="preserve">New Pastures: Livestock and lifeways in Iron Age Ireland</w:t>
      </w:r>
      <w:r w:rsidDel="00000000" w:rsidR="00000000" w:rsidRPr="00000000">
        <w:rPr>
          <w:rtl w:val="0"/>
        </w:rPr>
      </w:r>
    </w:p>
    <w:p w:rsidR="00000000" w:rsidDel="00000000" w:rsidP="00000000" w:rsidRDefault="00000000" w:rsidRPr="00000000" w14:paraId="000002CE">
      <w:pPr>
        <w:jc w:val="both"/>
        <w:rPr/>
      </w:pPr>
      <w:r w:rsidDel="00000000" w:rsidR="00000000" w:rsidRPr="00000000">
        <w:rPr>
          <w:rtl w:val="0"/>
        </w:rPr>
        <w:t xml:space="preserve">The Irish Iron Age (ca. 700 BC–AD 400) has been one of the most enigmatic periods within Irish Archaeology due in large part to a lack of settlement evidence, which – when combined with the presence of herbivore bone assemblages in the archaeological record and an emphasis on horse tack in the artefact record – has formed the basis for arguments that the period was characterised by highly mobile pastoralism. With the advent of large-scale excavation programs in recent years and widespread application of radiocarbon dating, Iron Age settlement sites in Ireland are becoming recognized more widely. While this has challenged the idea that people were non-sedentary, little still is known about subsistence practices and settlement modes in the Iron Age. The excavations at the exceptional ‘Royal sites’ of Tara, Co. Meath, Dún Ailinne, Co. Kildare and Navan, Co. Armagh showed that cattle, sheep/goat, horse and pigs, were kept in the Iron Age. Although discussions of animal husbandry practices were, for a long time, limited in focus to these assemblages, there has been an understanding they may not represent regular settlement practices. The more recently excavated sites provide the broader context necessary for understanding these assemblages and will allow the development of more robust models of animal husbandry and mobility – animal and human – in Iron Age society. We will integrate zooarchaeological and isotopic analysis to shed new light on animal management in the Irish Iron Age, as well settlement modes and patterns of mobility. A suite of stable isotope analyses (δ13C, δ15N, and δ34S) will be undertaken on purified bone and tooth collagen of herbivores. While δ13C and δ15N are commonly used to infer past diet, more recently δ34S has been used to also infer provenance, as the isotope values for an area are largely controlled by the geology, with some input from sea-spray. Rather than establishing a baseline on modern samples of animals from the region, which will be affected by modern hydrocarbon pollution, statistical differences within the dataset will form the basis for the evaluation of local and non-local for δ34S analysis. This process will be guided by Sr data on local and non-local animals which are better differentiated from our understanding of Sr ratios related to geology age. Unlike δ34S, which is newer in application, we have a much better understanding of expected and real Sr values for different lithologies as the 87Sr/86Sr ratio is more directly related to age of the rocks on which the vegetation being eaten has grown. 87Sr/86Sr on teeth enamel will be undertaken on samples with local and non-local sulphur values, to refine provenance of the specific groups. Not only will this research, conducted in the IRC Coalesce/National Monuments service-funded project 'New Pastures', be the beginning step toward the development of a δ34S baseline for pre-Industrial research in Ireland, but by using domestic animals as a proxy for human mobility patterns, the outcomes will provide insights into the movements and connections of people in the Iron Age, building data-based models for Iron Age lifeways.</w:t>
      </w:r>
    </w:p>
    <w:p w:rsidR="00000000" w:rsidDel="00000000" w:rsidP="00000000" w:rsidRDefault="00000000" w:rsidRPr="00000000" w14:paraId="000002CF">
      <w:pPr>
        <w:jc w:val="both"/>
        <w:rPr>
          <w:i w:val="1"/>
        </w:rPr>
      </w:pPr>
      <w:r w:rsidDel="00000000" w:rsidR="00000000" w:rsidRPr="00000000">
        <w:rPr>
          <w:i w:val="1"/>
          <w:rtl w:val="0"/>
        </w:rPr>
        <w:t xml:space="preserve">Keywords: Irish Iron Age, Mobility, Animal Husbandry Practices.</w:t>
      </w:r>
    </w:p>
    <w:p w:rsidR="00000000" w:rsidDel="00000000" w:rsidP="00000000" w:rsidRDefault="00000000" w:rsidRPr="00000000" w14:paraId="000002D0">
      <w:pPr>
        <w:jc w:val="both"/>
        <w:rPr>
          <w:b w:val="1"/>
        </w:rPr>
      </w:pPr>
      <w:r w:rsidDel="00000000" w:rsidR="00000000" w:rsidRPr="00000000">
        <w:rPr>
          <w:rtl w:val="0"/>
        </w:rPr>
      </w:r>
    </w:p>
    <w:p w:rsidR="00000000" w:rsidDel="00000000" w:rsidP="00000000" w:rsidRDefault="00000000" w:rsidRPr="00000000" w14:paraId="000002D1">
      <w:pPr>
        <w:jc w:val="both"/>
        <w:rPr>
          <w:b w:val="1"/>
        </w:rPr>
      </w:pPr>
      <w:r w:rsidDel="00000000" w:rsidR="00000000" w:rsidRPr="00000000">
        <w:rPr>
          <w:rtl w:val="0"/>
        </w:rPr>
      </w:r>
    </w:p>
    <w:p w:rsidR="00000000" w:rsidDel="00000000" w:rsidP="00000000" w:rsidRDefault="00000000" w:rsidRPr="00000000" w14:paraId="000002D2">
      <w:pPr>
        <w:jc w:val="both"/>
        <w:rPr>
          <w:b w:val="1"/>
        </w:rPr>
      </w:pPr>
      <w:bookmarkStart w:colFirst="0" w:colLast="0" w:name="_heading=h.26in1rg" w:id="14"/>
      <w:bookmarkEnd w:id="14"/>
      <w:r w:rsidDel="00000000" w:rsidR="00000000" w:rsidRPr="00000000">
        <w:rPr>
          <w:b w:val="1"/>
          <w:rtl w:val="0"/>
        </w:rPr>
        <w:t xml:space="preserve">Sarah Barakat1, Mael Le Corre1, Elodie-Laure Jimenez1,2, Rebecca Lam3, Vaughan Grimes4, Emmanuel Discamps5, Kate Britton1</w:t>
      </w:r>
    </w:p>
    <w:p w:rsidR="00000000" w:rsidDel="00000000" w:rsidP="00000000" w:rsidRDefault="00000000" w:rsidRPr="00000000" w14:paraId="000002D3">
      <w:pPr>
        <w:jc w:val="both"/>
        <w:rPr>
          <w:sz w:val="20"/>
          <w:szCs w:val="20"/>
        </w:rPr>
      </w:pPr>
      <w:r w:rsidDel="00000000" w:rsidR="00000000" w:rsidRPr="00000000">
        <w:rPr>
          <w:sz w:val="20"/>
          <w:szCs w:val="20"/>
          <w:rtl w:val="0"/>
        </w:rPr>
        <w:t xml:space="preserve">1Department of Archaeology, University of Aberdeen, Aberdeen, United Kingdom</w:t>
      </w:r>
    </w:p>
    <w:p w:rsidR="00000000" w:rsidDel="00000000" w:rsidP="00000000" w:rsidRDefault="00000000" w:rsidRPr="00000000" w14:paraId="000002D4">
      <w:pPr>
        <w:jc w:val="both"/>
        <w:rPr>
          <w:sz w:val="20"/>
          <w:szCs w:val="20"/>
        </w:rPr>
      </w:pPr>
      <w:r w:rsidDel="00000000" w:rsidR="00000000" w:rsidRPr="00000000">
        <w:rPr>
          <w:sz w:val="20"/>
          <w:szCs w:val="20"/>
          <w:rtl w:val="0"/>
        </w:rPr>
        <w:t xml:space="preserve">2Department of Direction Earth and History of Life, Royal Belgian Institute of Natural Sciences, Brussels, Belgium</w:t>
      </w:r>
    </w:p>
    <w:p w:rsidR="00000000" w:rsidDel="00000000" w:rsidP="00000000" w:rsidRDefault="00000000" w:rsidRPr="00000000" w14:paraId="000002D5">
      <w:pPr>
        <w:jc w:val="both"/>
        <w:rPr>
          <w:sz w:val="20"/>
          <w:szCs w:val="20"/>
        </w:rPr>
      </w:pPr>
      <w:r w:rsidDel="00000000" w:rsidR="00000000" w:rsidRPr="00000000">
        <w:rPr>
          <w:sz w:val="20"/>
          <w:szCs w:val="20"/>
          <w:rtl w:val="0"/>
        </w:rPr>
        <w:t xml:space="preserve">3CREAIT Network, Memorial University, St. John's, NL, Canada</w:t>
      </w:r>
    </w:p>
    <w:p w:rsidR="00000000" w:rsidDel="00000000" w:rsidP="00000000" w:rsidRDefault="00000000" w:rsidRPr="00000000" w14:paraId="000002D6">
      <w:pPr>
        <w:jc w:val="both"/>
        <w:rPr>
          <w:sz w:val="20"/>
          <w:szCs w:val="20"/>
        </w:rPr>
      </w:pPr>
      <w:r w:rsidDel="00000000" w:rsidR="00000000" w:rsidRPr="00000000">
        <w:rPr>
          <w:sz w:val="20"/>
          <w:szCs w:val="20"/>
          <w:rtl w:val="0"/>
        </w:rPr>
        <w:t xml:space="preserve">4Department of Archaeology; Department of Earth Sciences, Memorial University, St. John's, NL, Canada</w:t>
      </w:r>
    </w:p>
    <w:p w:rsidR="00000000" w:rsidDel="00000000" w:rsidP="00000000" w:rsidRDefault="00000000" w:rsidRPr="00000000" w14:paraId="000002D7">
      <w:pPr>
        <w:jc w:val="both"/>
        <w:rPr>
          <w:sz w:val="20"/>
          <w:szCs w:val="20"/>
        </w:rPr>
      </w:pPr>
      <w:r w:rsidDel="00000000" w:rsidR="00000000" w:rsidRPr="00000000">
        <w:rPr>
          <w:sz w:val="20"/>
          <w:szCs w:val="20"/>
          <w:rtl w:val="0"/>
        </w:rPr>
        <w:t xml:space="preserve">5TRACES, French National Centre for Scientific Research, University of Toulouse Jean Jaurès, Toulouse, France</w:t>
      </w:r>
    </w:p>
    <w:p w:rsidR="00000000" w:rsidDel="00000000" w:rsidP="00000000" w:rsidRDefault="00000000" w:rsidRPr="00000000" w14:paraId="000002D8">
      <w:pPr>
        <w:jc w:val="both"/>
        <w:rPr>
          <w:b w:val="1"/>
        </w:rPr>
      </w:pPr>
      <w:r w:rsidDel="00000000" w:rsidR="00000000" w:rsidRPr="00000000">
        <w:rPr>
          <w:rtl w:val="0"/>
        </w:rPr>
      </w:r>
    </w:p>
    <w:p w:rsidR="00000000" w:rsidDel="00000000" w:rsidP="00000000" w:rsidRDefault="00000000" w:rsidRPr="00000000" w14:paraId="000002D9">
      <w:pPr>
        <w:jc w:val="both"/>
        <w:rPr>
          <w:i w:val="1"/>
          <w:u w:val="single"/>
        </w:rPr>
      </w:pPr>
      <w:r w:rsidDel="00000000" w:rsidR="00000000" w:rsidRPr="00000000">
        <w:rPr>
          <w:i w:val="1"/>
          <w:u w:val="single"/>
          <w:rtl w:val="0"/>
        </w:rPr>
        <w:t xml:space="preserve">Combining Sulphur and Strontium Isotopic Analysis to recreate Paleolithic Reindeer Mobility and Spatiality</w:t>
      </w:r>
    </w:p>
    <w:p w:rsidR="00000000" w:rsidDel="00000000" w:rsidP="00000000" w:rsidRDefault="00000000" w:rsidRPr="00000000" w14:paraId="000002DA">
      <w:pPr>
        <w:jc w:val="both"/>
        <w:rPr/>
      </w:pPr>
      <w:r w:rsidDel="00000000" w:rsidR="00000000" w:rsidRPr="00000000">
        <w:rPr>
          <w:rtl w:val="0"/>
        </w:rPr>
        <w:t xml:space="preserve">Reconstructing the movements of past ungulates that Palaeolithic humans relied on is a crucial step to understanding human mobility and landscape use. The majority of mobility studies rely heavily on strontium isotopic analysis (87Sr/86Sr) which allows the identification of movement between different lithologies. However, 87Sr/86Sr values can prove ineffective in regions with homogenous or overly heterogenous lithology. Therefore, when attempting to identify origins and recreate migration routes, combining multi-isotopic analysis is more productive. Sulphur isotopic analysis (δ34S) is becoming increasingly useful in archaeological mobility studies due to an increased understanding of sulphur variability in relation to coastlines/sea spray effects and changes in lithology. When combined, strontium and sulphur isotopic analysis have the potential to explore individual movement and species-specific spatial behaviours. This project aims to apply 87Sr/86Sr and δ34S analyses to determine Middle and Upper Palaeolithic reindeer mobility in the Dordogne region, France. By comparing laser ablation obtained 87Sr/86Sr values of enamel with bulk collagen sulphur, the seasonal migrations and calving ground of reindeer can be reconstructed. This can further help our understanding of the plasticity of Palaeolithic hunter-gathers mobility and hunting patterns in relation to seasonal-occupation sites.</w:t>
      </w:r>
    </w:p>
    <w:p w:rsidR="00000000" w:rsidDel="00000000" w:rsidP="00000000" w:rsidRDefault="00000000" w:rsidRPr="00000000" w14:paraId="000002DB">
      <w:pPr>
        <w:jc w:val="both"/>
        <w:rPr>
          <w:i w:val="1"/>
        </w:rPr>
      </w:pPr>
      <w:bookmarkStart w:colFirst="0" w:colLast="0" w:name="_heading=h.lnxbz9" w:id="15"/>
      <w:bookmarkEnd w:id="15"/>
      <w:r w:rsidDel="00000000" w:rsidR="00000000" w:rsidRPr="00000000">
        <w:rPr>
          <w:i w:val="1"/>
          <w:rtl w:val="0"/>
        </w:rPr>
        <w:t xml:space="preserve">Keywords: Laser ablation, Sulphur isotopic analysis, Late Pleistocene, Herbivore spatial ecology.</w:t>
      </w:r>
    </w:p>
    <w:p w:rsidR="00000000" w:rsidDel="00000000" w:rsidP="00000000" w:rsidRDefault="00000000" w:rsidRPr="00000000" w14:paraId="000002DC">
      <w:pPr>
        <w:jc w:val="both"/>
        <w:rPr>
          <w:b w:val="1"/>
        </w:rPr>
      </w:pPr>
      <w:r w:rsidDel="00000000" w:rsidR="00000000" w:rsidRPr="00000000">
        <w:rPr>
          <w:rtl w:val="0"/>
        </w:rPr>
      </w:r>
    </w:p>
    <w:p w:rsidR="00000000" w:rsidDel="00000000" w:rsidP="00000000" w:rsidRDefault="00000000" w:rsidRPr="00000000" w14:paraId="000002DD">
      <w:pPr>
        <w:jc w:val="both"/>
        <w:rPr>
          <w:b w:val="1"/>
        </w:rPr>
      </w:pPr>
      <w:r w:rsidDel="00000000" w:rsidR="00000000" w:rsidRPr="00000000">
        <w:rPr>
          <w:rtl w:val="0"/>
        </w:rPr>
      </w:r>
    </w:p>
    <w:p w:rsidR="00000000" w:rsidDel="00000000" w:rsidP="00000000" w:rsidRDefault="00000000" w:rsidRPr="00000000" w14:paraId="000002DE">
      <w:pPr>
        <w:jc w:val="both"/>
        <w:rPr>
          <w:i w:val="1"/>
        </w:rPr>
      </w:pPr>
      <w:r w:rsidDel="00000000" w:rsidR="00000000" w:rsidRPr="00000000">
        <w:rPr>
          <w:b w:val="1"/>
          <w:rtl w:val="0"/>
        </w:rPr>
        <w:t xml:space="preserve">Angela Trentacoste, Cheryl Makarewicz  </w:t>
      </w:r>
      <w:r w:rsidDel="00000000" w:rsidR="00000000" w:rsidRPr="00000000">
        <w:rPr>
          <w:rtl w:val="0"/>
        </w:rPr>
      </w:r>
    </w:p>
    <w:p w:rsidR="00000000" w:rsidDel="00000000" w:rsidP="00000000" w:rsidRDefault="00000000" w:rsidRPr="00000000" w14:paraId="000002DF">
      <w:pPr>
        <w:jc w:val="both"/>
        <w:rPr>
          <w:b w:val="1"/>
          <w:sz w:val="20"/>
          <w:szCs w:val="20"/>
        </w:rPr>
      </w:pPr>
      <w:r w:rsidDel="00000000" w:rsidR="00000000" w:rsidRPr="00000000">
        <w:rPr>
          <w:sz w:val="20"/>
          <w:szCs w:val="20"/>
          <w:rtl w:val="0"/>
        </w:rPr>
        <w:t xml:space="preserve">Christian-Albrechts-Universität, Institut für Ur- und Frühgeschichte, Kiel, Germany </w:t>
      </w:r>
      <w:r w:rsidDel="00000000" w:rsidR="00000000" w:rsidRPr="00000000">
        <w:rPr>
          <w:rtl w:val="0"/>
        </w:rPr>
      </w:r>
    </w:p>
    <w:p w:rsidR="00000000" w:rsidDel="00000000" w:rsidP="00000000" w:rsidRDefault="00000000" w:rsidRPr="00000000" w14:paraId="000002E0">
      <w:pPr>
        <w:jc w:val="both"/>
        <w:rPr>
          <w:b w:val="1"/>
        </w:rPr>
      </w:pPr>
      <w:r w:rsidDel="00000000" w:rsidR="00000000" w:rsidRPr="00000000">
        <w:rPr>
          <w:rtl w:val="0"/>
        </w:rPr>
      </w:r>
    </w:p>
    <w:p w:rsidR="00000000" w:rsidDel="00000000" w:rsidP="00000000" w:rsidRDefault="00000000" w:rsidRPr="00000000" w14:paraId="000002E1">
      <w:pPr>
        <w:jc w:val="both"/>
        <w:rPr>
          <w:i w:val="1"/>
          <w:u w:val="single"/>
        </w:rPr>
      </w:pPr>
      <w:r w:rsidDel="00000000" w:rsidR="00000000" w:rsidRPr="00000000">
        <w:rPr>
          <w:i w:val="1"/>
          <w:u w:val="single"/>
          <w:rtl w:val="0"/>
        </w:rPr>
        <w:t xml:space="preserve">An isotopic approach to urban ecology: investigating environmental exploitation and herd management in Archaic Italy </w:t>
      </w:r>
    </w:p>
    <w:p w:rsidR="00000000" w:rsidDel="00000000" w:rsidP="00000000" w:rsidRDefault="00000000" w:rsidRPr="00000000" w14:paraId="000002E2">
      <w:pPr>
        <w:jc w:val="both"/>
        <w:rPr/>
      </w:pPr>
      <w:r w:rsidDel="00000000" w:rsidR="00000000" w:rsidRPr="00000000">
        <w:rPr>
          <w:rtl w:val="0"/>
        </w:rPr>
        <w:t xml:space="preserve">Increased plant and animal production was essential for the rise and survival of ancient Mediterranean cities. Yet, bioarchaeological research remains largely neglected in scholarship on early Italian urbanism, and little is known about how some of Western Europe's earliest cities marshalled the resources needed to support urban life. In the diverse cultural and environmental landscape of protohistoric Italy, many strategies were likely employed, which shaped – and were shaped by – regional differences in connectivity and mobility rights, land use, economic focus, and social organisation. This talk presents new results from UrbanHerds, a Humboldt Foundation-funded research project investigating urban supply and environmental exploitation in Archaic Italian cities (c. 600–400 BC) through the lens of animal herding. The diversity of these settlements, which differ in their topographic and climatic setting, size, and socio-political importance, allows us to investigate how herding practices were tailored to local environments and shaped by socio-economic pressures. This talk compares isotopic results from analysis of bone collagen (δ13C and δ15N) and tooth enamel (δ18O and δ13C) with zooarchaeological evidence for pastoral strategies across a suite of Archaic central Italian urban sites, and discusses the limitations of isotopic analyses for investigating herd management in an Italian context. Particular emphasis is place on understanding mobility (e.g. transhumance), its isotopic signatures, and its social implications: the tessellated landscape of central Italy offered a diverse array of eco-zones that could be exploited for profit and leveraged as risk mitigation, but questions remain as to their accessibility in the past and our ability to distinguish them in the present.</w:t>
      </w:r>
    </w:p>
    <w:p w:rsidR="00000000" w:rsidDel="00000000" w:rsidP="00000000" w:rsidRDefault="00000000" w:rsidRPr="00000000" w14:paraId="000002E3">
      <w:pPr>
        <w:jc w:val="both"/>
        <w:rPr>
          <w:i w:val="1"/>
        </w:rPr>
      </w:pPr>
      <w:r w:rsidDel="00000000" w:rsidR="00000000" w:rsidRPr="00000000">
        <w:rPr>
          <w:i w:val="1"/>
          <w:rtl w:val="0"/>
        </w:rPr>
        <w:t xml:space="preserve">Keywords: Iron Age, urbanisation, Italy, diet, mobility, δ13C, δ15N, δ18O.</w:t>
      </w:r>
    </w:p>
    <w:p w:rsidR="00000000" w:rsidDel="00000000" w:rsidP="00000000" w:rsidRDefault="00000000" w:rsidRPr="00000000" w14:paraId="000002E4">
      <w:pPr>
        <w:jc w:val="both"/>
        <w:rPr>
          <w:b w:val="1"/>
        </w:rPr>
      </w:pPr>
      <w:r w:rsidDel="00000000" w:rsidR="00000000" w:rsidRPr="00000000">
        <w:rPr>
          <w:rtl w:val="0"/>
        </w:rPr>
      </w:r>
    </w:p>
    <w:p w:rsidR="00000000" w:rsidDel="00000000" w:rsidP="00000000" w:rsidRDefault="00000000" w:rsidRPr="00000000" w14:paraId="000002E5">
      <w:pPr>
        <w:jc w:val="both"/>
        <w:rPr/>
      </w:pPr>
      <w:bookmarkStart w:colFirst="0" w:colLast="0" w:name="_heading=h.35nkun2" w:id="16"/>
      <w:bookmarkEnd w:id="16"/>
      <w:r w:rsidDel="00000000" w:rsidR="00000000" w:rsidRPr="00000000">
        <w:rPr>
          <w:rtl w:val="0"/>
        </w:rPr>
      </w:r>
    </w:p>
    <w:p w:rsidR="00000000" w:rsidDel="00000000" w:rsidP="00000000" w:rsidRDefault="00000000" w:rsidRPr="00000000" w14:paraId="000002E6">
      <w:pPr>
        <w:jc w:val="both"/>
        <w:rPr>
          <w:b w:val="1"/>
        </w:rPr>
      </w:pPr>
      <w:r w:rsidDel="00000000" w:rsidR="00000000" w:rsidRPr="00000000">
        <w:rPr>
          <w:b w:val="1"/>
          <w:rtl w:val="0"/>
        </w:rPr>
        <w:t xml:space="preserve">Phoebe Heddell-Stevens1, Patrick Roberts1,2</w:t>
      </w:r>
    </w:p>
    <w:p w:rsidR="00000000" w:rsidDel="00000000" w:rsidP="00000000" w:rsidRDefault="00000000" w:rsidRPr="00000000" w14:paraId="000002E7">
      <w:pPr>
        <w:jc w:val="both"/>
        <w:rPr>
          <w:sz w:val="20"/>
          <w:szCs w:val="20"/>
        </w:rPr>
      </w:pPr>
      <w:r w:rsidDel="00000000" w:rsidR="00000000" w:rsidRPr="00000000">
        <w:rPr>
          <w:sz w:val="20"/>
          <w:szCs w:val="20"/>
          <w:rtl w:val="0"/>
        </w:rPr>
        <w:t xml:space="preserve">1Max Planck Institute for Geoanthropology, Germany</w:t>
      </w:r>
    </w:p>
    <w:p w:rsidR="00000000" w:rsidDel="00000000" w:rsidP="00000000" w:rsidRDefault="00000000" w:rsidRPr="00000000" w14:paraId="000002E8">
      <w:pPr>
        <w:jc w:val="both"/>
        <w:rPr>
          <w:sz w:val="20"/>
          <w:szCs w:val="20"/>
        </w:rPr>
      </w:pPr>
      <w:r w:rsidDel="00000000" w:rsidR="00000000" w:rsidRPr="00000000">
        <w:rPr>
          <w:sz w:val="20"/>
          <w:szCs w:val="20"/>
          <w:rtl w:val="0"/>
        </w:rPr>
        <w:t xml:space="preserve">2University of Queensland, Australia</w:t>
      </w:r>
    </w:p>
    <w:p w:rsidR="00000000" w:rsidDel="00000000" w:rsidP="00000000" w:rsidRDefault="00000000" w:rsidRPr="00000000" w14:paraId="000002E9">
      <w:pPr>
        <w:jc w:val="both"/>
        <w:rPr>
          <w:b w:val="1"/>
        </w:rPr>
      </w:pPr>
      <w:r w:rsidDel="00000000" w:rsidR="00000000" w:rsidRPr="00000000">
        <w:rPr>
          <w:rtl w:val="0"/>
        </w:rPr>
      </w:r>
    </w:p>
    <w:p w:rsidR="00000000" w:rsidDel="00000000" w:rsidP="00000000" w:rsidRDefault="00000000" w:rsidRPr="00000000" w14:paraId="000002EA">
      <w:pPr>
        <w:jc w:val="both"/>
        <w:rPr>
          <w:u w:val="single"/>
        </w:rPr>
      </w:pPr>
      <w:r w:rsidDel="00000000" w:rsidR="00000000" w:rsidRPr="00000000">
        <w:rPr>
          <w:i w:val="1"/>
          <w:u w:val="single"/>
          <w:rtl w:val="0"/>
        </w:rPr>
        <w:t xml:space="preserve">Investigating hominin hunting seasonality during the Palaeolithic of Eastern Germany using multi-isotope analysis of sequentially sampled herbivore tooth enamel</w:t>
      </w:r>
      <w:r w:rsidDel="00000000" w:rsidR="00000000" w:rsidRPr="00000000">
        <w:rPr>
          <w:u w:val="single"/>
          <w:rtl w:val="0"/>
        </w:rPr>
        <w:t xml:space="preserve"> </w:t>
      </w:r>
    </w:p>
    <w:p w:rsidR="00000000" w:rsidDel="00000000" w:rsidP="00000000" w:rsidRDefault="00000000" w:rsidRPr="00000000" w14:paraId="000002EB">
      <w:pPr>
        <w:jc w:val="both"/>
        <w:rPr/>
      </w:pPr>
      <w:r w:rsidDel="00000000" w:rsidR="00000000" w:rsidRPr="00000000">
        <w:rPr>
          <w:rtl w:val="0"/>
        </w:rPr>
        <w:t xml:space="preserve">Seasonal fluctuations in prey-species availability play a key role in shaping subsistence strategies of present and past hunter-gatherer populations. The temporal and spatial distribution of prey-species in the local environment throughout the year inform all aspects of human hunting practices, including prey choice, hunting specialization, mobility and seasonality of site occupation. As such, to fully investigate hominin subsistence adaptations during the European late Pleistocene it is imperative that we reconstruct prey-species palaeoecology and behaviour on sub-annual timescales. This involves obtaining seasonally-resolved records from archaeofaunal remains that are relevant to the scale of human activity at a site. While eastern Germany has rich history of Palaeolithic archaeological research, interpretations of hominin hunting seasonality have primarily utilised traditional zooarchaeological methods of analysis and there is a lack of direct evidence for the seasonal distribution of prey in the landscape. Here we seek to address this by applying multi-isotope analysis to sequentially sampled tooth enamel of key herbivore prey-taxa from both Middle and Upper Palaeolithic contexts in eastern Germany. We utilise stable carbon, oxygen and strontium isotope analysis to reconstruct sub-annual, seasonal-scale diet and habitat preference as well as mobility patterns of these species. We interpret our results against the palaeoclimatic and environmental background and local geology and discuss the implications for shifting hominin hunting practices between the different cultural periods in the region. Our study highlights the importance of reconstructing prey-species ecology and behaviour on seasonal timescales when investigating past hominin subsistence strategies and, more broadly, human-environmental interactions, in Europe during the late Pleistocene.</w:t>
      </w:r>
    </w:p>
    <w:p w:rsidR="00000000" w:rsidDel="00000000" w:rsidP="00000000" w:rsidRDefault="00000000" w:rsidRPr="00000000" w14:paraId="000002EC">
      <w:pPr>
        <w:jc w:val="both"/>
        <w:rPr>
          <w:i w:val="1"/>
        </w:rPr>
      </w:pPr>
      <w:r w:rsidDel="00000000" w:rsidR="00000000" w:rsidRPr="00000000">
        <w:rPr>
          <w:i w:val="1"/>
          <w:rtl w:val="0"/>
        </w:rPr>
        <w:t xml:space="preserve">Keywords: Multi-isotope analysis, Faunal palaeoecology, Palaeolithic, Hunting, Germany.</w:t>
      </w:r>
    </w:p>
    <w:p w:rsidR="00000000" w:rsidDel="00000000" w:rsidP="00000000" w:rsidRDefault="00000000" w:rsidRPr="00000000" w14:paraId="000002ED">
      <w:pPr>
        <w:jc w:val="both"/>
        <w:rPr/>
      </w:pPr>
      <w:r w:rsidDel="00000000" w:rsidR="00000000" w:rsidRPr="00000000">
        <w:rPr>
          <w:rtl w:val="0"/>
        </w:rPr>
      </w:r>
    </w:p>
    <w:p w:rsidR="00000000" w:rsidDel="00000000" w:rsidP="00000000" w:rsidRDefault="00000000" w:rsidRPr="00000000" w14:paraId="000002EE">
      <w:pPr>
        <w:jc w:val="both"/>
        <w:rPr/>
      </w:pPr>
      <w:bookmarkStart w:colFirst="0" w:colLast="0" w:name="_heading=h.1ksv4uv" w:id="17"/>
      <w:bookmarkEnd w:id="17"/>
      <w:r w:rsidDel="00000000" w:rsidR="00000000" w:rsidRPr="00000000">
        <w:rPr>
          <w:rtl w:val="0"/>
        </w:rPr>
      </w:r>
    </w:p>
    <w:p w:rsidR="00000000" w:rsidDel="00000000" w:rsidP="00000000" w:rsidRDefault="00000000" w:rsidRPr="00000000" w14:paraId="000002EF">
      <w:pPr>
        <w:jc w:val="both"/>
        <w:rPr>
          <w:b w:val="1"/>
        </w:rPr>
      </w:pPr>
      <w:r w:rsidDel="00000000" w:rsidR="00000000" w:rsidRPr="00000000">
        <w:rPr>
          <w:b w:val="1"/>
          <w:rtl w:val="0"/>
        </w:rPr>
        <w:t xml:space="preserve">Elizabeth R. Arnold1, Haskel J. Greenfield2, Gideon Hartman3, Tina Greenfield4</w:t>
      </w:r>
    </w:p>
    <w:p w:rsidR="00000000" w:rsidDel="00000000" w:rsidP="00000000" w:rsidRDefault="00000000" w:rsidRPr="00000000" w14:paraId="000002F0">
      <w:pPr>
        <w:jc w:val="both"/>
        <w:rPr>
          <w:sz w:val="20"/>
          <w:szCs w:val="20"/>
        </w:rPr>
      </w:pPr>
      <w:r w:rsidDel="00000000" w:rsidR="00000000" w:rsidRPr="00000000">
        <w:rPr>
          <w:sz w:val="20"/>
          <w:szCs w:val="20"/>
          <w:rtl w:val="0"/>
        </w:rPr>
        <w:t xml:space="preserve">1Grand Valley State University, USA</w:t>
      </w:r>
    </w:p>
    <w:p w:rsidR="00000000" w:rsidDel="00000000" w:rsidP="00000000" w:rsidRDefault="00000000" w:rsidRPr="00000000" w14:paraId="000002F1">
      <w:pPr>
        <w:jc w:val="both"/>
        <w:rPr>
          <w:sz w:val="20"/>
          <w:szCs w:val="20"/>
        </w:rPr>
      </w:pPr>
      <w:r w:rsidDel="00000000" w:rsidR="00000000" w:rsidRPr="00000000">
        <w:rPr>
          <w:sz w:val="20"/>
          <w:szCs w:val="20"/>
          <w:rtl w:val="0"/>
        </w:rPr>
        <w:t xml:space="preserve">2University of Manitoba, Canada</w:t>
      </w:r>
    </w:p>
    <w:p w:rsidR="00000000" w:rsidDel="00000000" w:rsidP="00000000" w:rsidRDefault="00000000" w:rsidRPr="00000000" w14:paraId="000002F2">
      <w:pPr>
        <w:jc w:val="both"/>
        <w:rPr>
          <w:sz w:val="20"/>
          <w:szCs w:val="20"/>
        </w:rPr>
      </w:pPr>
      <w:r w:rsidDel="00000000" w:rsidR="00000000" w:rsidRPr="00000000">
        <w:rPr>
          <w:sz w:val="20"/>
          <w:szCs w:val="20"/>
          <w:rtl w:val="0"/>
        </w:rPr>
        <w:t xml:space="preserve">3University of Connecticut, USA</w:t>
      </w:r>
    </w:p>
    <w:p w:rsidR="00000000" w:rsidDel="00000000" w:rsidP="00000000" w:rsidRDefault="00000000" w:rsidRPr="00000000" w14:paraId="000002F3">
      <w:pPr>
        <w:jc w:val="both"/>
        <w:rPr>
          <w:sz w:val="20"/>
          <w:szCs w:val="20"/>
        </w:rPr>
      </w:pPr>
      <w:r w:rsidDel="00000000" w:rsidR="00000000" w:rsidRPr="00000000">
        <w:rPr>
          <w:sz w:val="20"/>
          <w:szCs w:val="20"/>
          <w:rtl w:val="0"/>
        </w:rPr>
        <w:t xml:space="preserve">4University of Cambridge, United Kingdom</w:t>
      </w:r>
    </w:p>
    <w:p w:rsidR="00000000" w:rsidDel="00000000" w:rsidP="00000000" w:rsidRDefault="00000000" w:rsidRPr="00000000" w14:paraId="000002F4">
      <w:pPr>
        <w:jc w:val="both"/>
        <w:rPr>
          <w:b w:val="1"/>
        </w:rPr>
      </w:pPr>
      <w:r w:rsidDel="00000000" w:rsidR="00000000" w:rsidRPr="00000000">
        <w:rPr>
          <w:rtl w:val="0"/>
        </w:rPr>
      </w:r>
    </w:p>
    <w:p w:rsidR="00000000" w:rsidDel="00000000" w:rsidP="00000000" w:rsidRDefault="00000000" w:rsidRPr="00000000" w14:paraId="000002F5">
      <w:pPr>
        <w:jc w:val="both"/>
        <w:rPr>
          <w:i w:val="1"/>
          <w:u w:val="single"/>
        </w:rPr>
      </w:pPr>
      <w:r w:rsidDel="00000000" w:rsidR="00000000" w:rsidRPr="00000000">
        <w:rPr>
          <w:i w:val="1"/>
          <w:u w:val="single"/>
          <w:rtl w:val="0"/>
        </w:rPr>
        <w:t xml:space="preserve">Provisioning early complex society in the Southern Levant: domestic animal production and management during the Early Bronze Age</w:t>
      </w:r>
    </w:p>
    <w:p w:rsidR="00000000" w:rsidDel="00000000" w:rsidP="00000000" w:rsidRDefault="00000000" w:rsidRPr="00000000" w14:paraId="000002F6">
      <w:pPr>
        <w:jc w:val="both"/>
        <w:rPr/>
      </w:pPr>
      <w:r w:rsidDel="00000000" w:rsidR="00000000" w:rsidRPr="00000000">
        <w:rPr>
          <w:rtl w:val="0"/>
        </w:rPr>
        <w:t xml:space="preserve">Most research on the origins and nature of early complex society (state-level and urban) in the Near East has focused on elite architecture, mortuary behaviour, settlement patterns, and administration, particularly in Mesopotamia and Egypt. Yet, little is known about the organisation of food production and provisioning for food and other goods beyond that for elite or institutions. This is problematic since food production and distribution underlie theories of the evolution of early complex society. Further, such research ignores the bulk of society. It is vital to understand how the changes in political and economic organisation altered or were driven by the needs of not only the upper, but also the lower strata of these ancient societies. Without data that includes mundane as well as elite behaviour, models for the evolution of early complex society and productive specialisation cannot be adequately tested. Animal remains from archaeological sites is one means by which insights can be obtained. This paper presents isotopic (carbon, oxygen and strontium) data from domestic livestock (sheep, goat, donkey, pig) from previously excavated Early Bronze Age (3600-2000 BCE) sites across the Southern Levant to examine regional patterns of herd management and mobility at early complex societies. Linkages between EB urban settlements have been documented in both the archaeological and written records. Here, the focus is on the connections of animal production patterns, food provisioning and other animal resources. A key question is whether food production is organised on a local, regional or inter-regional scale? Data is presented from several sites including Tel es-Safi, Tel Yarmouth, Tel Erani and Tel Halif, representing a cross-section of environments across the region (coast to mountains) for this time period.</w:t>
      </w:r>
    </w:p>
    <w:p w:rsidR="00000000" w:rsidDel="00000000" w:rsidP="00000000" w:rsidRDefault="00000000" w:rsidRPr="00000000" w14:paraId="000002F7">
      <w:pPr>
        <w:jc w:val="both"/>
        <w:rPr>
          <w:i w:val="1"/>
        </w:rPr>
      </w:pPr>
      <w:r w:rsidDel="00000000" w:rsidR="00000000" w:rsidRPr="00000000">
        <w:rPr>
          <w:i w:val="1"/>
          <w:rtl w:val="0"/>
        </w:rPr>
        <w:t xml:space="preserve">Keywords: complex society, Early Bronze Age, southern Levant, animal management, herding.</w:t>
      </w:r>
    </w:p>
    <w:p w:rsidR="00000000" w:rsidDel="00000000" w:rsidP="00000000" w:rsidRDefault="00000000" w:rsidRPr="00000000" w14:paraId="000002F8">
      <w:pPr>
        <w:jc w:val="both"/>
        <w:rPr/>
      </w:pPr>
      <w:r w:rsidDel="00000000" w:rsidR="00000000" w:rsidRPr="00000000">
        <w:rPr>
          <w:rtl w:val="0"/>
        </w:rPr>
      </w:r>
    </w:p>
    <w:p w:rsidR="00000000" w:rsidDel="00000000" w:rsidP="00000000" w:rsidRDefault="00000000" w:rsidRPr="00000000" w14:paraId="000002F9">
      <w:pPr>
        <w:jc w:val="both"/>
        <w:rPr/>
      </w:pPr>
      <w:r w:rsidDel="00000000" w:rsidR="00000000" w:rsidRPr="00000000">
        <w:rPr>
          <w:rtl w:val="0"/>
        </w:rPr>
      </w:r>
    </w:p>
    <w:p w:rsidR="00000000" w:rsidDel="00000000" w:rsidP="00000000" w:rsidRDefault="00000000" w:rsidRPr="00000000" w14:paraId="000002FA">
      <w:pPr>
        <w:jc w:val="both"/>
        <w:rPr>
          <w:b w:val="1"/>
        </w:rPr>
      </w:pPr>
      <w:bookmarkStart w:colFirst="0" w:colLast="0" w:name="_heading=h.44sinio" w:id="18"/>
      <w:bookmarkEnd w:id="18"/>
      <w:r w:rsidDel="00000000" w:rsidR="00000000" w:rsidRPr="00000000">
        <w:rPr>
          <w:b w:val="1"/>
          <w:rtl w:val="0"/>
        </w:rPr>
        <w:t xml:space="preserve">Silvia Valenzuela-Lamas1, Ariadna Nieto-Espinet2, Domingo Carlos Salazar-Garcia3, Angela Trentacoste4, Silvia Guimarães5, Pere Castanyer6, Joaquim Tremoleda6, Marta Santos6 </w:t>
      </w:r>
    </w:p>
    <w:p w:rsidR="00000000" w:rsidDel="00000000" w:rsidP="00000000" w:rsidRDefault="00000000" w:rsidRPr="00000000" w14:paraId="000002FB">
      <w:pPr>
        <w:jc w:val="both"/>
        <w:rPr>
          <w:sz w:val="20"/>
          <w:szCs w:val="20"/>
        </w:rPr>
      </w:pPr>
      <w:r w:rsidDel="00000000" w:rsidR="00000000" w:rsidRPr="00000000">
        <w:rPr>
          <w:sz w:val="20"/>
          <w:szCs w:val="20"/>
          <w:rtl w:val="0"/>
        </w:rPr>
        <w:t xml:space="preserve">1Archaeology of Social Dynamics, Institució Milà i Fontanals (IMF-CSIC) </w:t>
      </w:r>
    </w:p>
    <w:p w:rsidR="00000000" w:rsidDel="00000000" w:rsidP="00000000" w:rsidRDefault="00000000" w:rsidRPr="00000000" w14:paraId="000002FC">
      <w:pPr>
        <w:jc w:val="both"/>
        <w:rPr>
          <w:sz w:val="20"/>
          <w:szCs w:val="20"/>
        </w:rPr>
      </w:pPr>
      <w:r w:rsidDel="00000000" w:rsidR="00000000" w:rsidRPr="00000000">
        <w:rPr>
          <w:sz w:val="20"/>
          <w:szCs w:val="20"/>
          <w:rtl w:val="0"/>
        </w:rPr>
        <w:t xml:space="preserve">2Grup d’Investigació Prehistòrica (GIP), Universitat de Lleida (UdL) </w:t>
      </w:r>
    </w:p>
    <w:p w:rsidR="00000000" w:rsidDel="00000000" w:rsidP="00000000" w:rsidRDefault="00000000" w:rsidRPr="00000000" w14:paraId="000002FD">
      <w:pPr>
        <w:jc w:val="both"/>
        <w:rPr>
          <w:sz w:val="20"/>
          <w:szCs w:val="20"/>
        </w:rPr>
      </w:pPr>
      <w:r w:rsidDel="00000000" w:rsidR="00000000" w:rsidRPr="00000000">
        <w:rPr>
          <w:sz w:val="20"/>
          <w:szCs w:val="20"/>
          <w:rtl w:val="0"/>
        </w:rPr>
        <w:t xml:space="preserve">3 Departament de Prehistòria, Arqueologia i Història Antiga, Universitat de València (UV); Department of Geological Sciences, University of Cape Town (Cape Town, South Africa)</w:t>
      </w:r>
    </w:p>
    <w:p w:rsidR="00000000" w:rsidDel="00000000" w:rsidP="00000000" w:rsidRDefault="00000000" w:rsidRPr="00000000" w14:paraId="000002FE">
      <w:pPr>
        <w:jc w:val="both"/>
        <w:rPr>
          <w:sz w:val="20"/>
          <w:szCs w:val="20"/>
        </w:rPr>
      </w:pPr>
      <w:r w:rsidDel="00000000" w:rsidR="00000000" w:rsidRPr="00000000">
        <w:rPr>
          <w:sz w:val="20"/>
          <w:szCs w:val="20"/>
          <w:rtl w:val="0"/>
        </w:rPr>
        <w:t xml:space="preserve">4 Christian-Albrechts-Universität zu Kiel </w:t>
      </w:r>
    </w:p>
    <w:p w:rsidR="00000000" w:rsidDel="00000000" w:rsidP="00000000" w:rsidRDefault="00000000" w:rsidRPr="00000000" w14:paraId="000002FF">
      <w:pPr>
        <w:jc w:val="both"/>
        <w:rPr>
          <w:sz w:val="20"/>
          <w:szCs w:val="20"/>
        </w:rPr>
      </w:pPr>
      <w:r w:rsidDel="00000000" w:rsidR="00000000" w:rsidRPr="00000000">
        <w:rPr>
          <w:sz w:val="20"/>
          <w:szCs w:val="20"/>
          <w:rtl w:val="0"/>
        </w:rPr>
        <w:t xml:space="preserve">5CIBIO-INBIO, Porto </w:t>
      </w:r>
    </w:p>
    <w:p w:rsidR="00000000" w:rsidDel="00000000" w:rsidP="00000000" w:rsidRDefault="00000000" w:rsidRPr="00000000" w14:paraId="00000300">
      <w:pPr>
        <w:jc w:val="both"/>
        <w:rPr>
          <w:sz w:val="20"/>
          <w:szCs w:val="20"/>
        </w:rPr>
      </w:pPr>
      <w:r w:rsidDel="00000000" w:rsidR="00000000" w:rsidRPr="00000000">
        <w:rPr>
          <w:sz w:val="20"/>
          <w:szCs w:val="20"/>
          <w:rtl w:val="0"/>
        </w:rPr>
        <w:t xml:space="preserve">6Museu d’Arqueologia de Catalunya - Empúries </w:t>
      </w:r>
    </w:p>
    <w:p w:rsidR="00000000" w:rsidDel="00000000" w:rsidP="00000000" w:rsidRDefault="00000000" w:rsidRPr="00000000" w14:paraId="00000301">
      <w:pPr>
        <w:jc w:val="both"/>
        <w:rPr>
          <w:b w:val="1"/>
        </w:rPr>
      </w:pPr>
      <w:r w:rsidDel="00000000" w:rsidR="00000000" w:rsidRPr="00000000">
        <w:rPr>
          <w:rtl w:val="0"/>
        </w:rPr>
      </w:r>
    </w:p>
    <w:p w:rsidR="00000000" w:rsidDel="00000000" w:rsidP="00000000" w:rsidRDefault="00000000" w:rsidRPr="00000000" w14:paraId="00000302">
      <w:pPr>
        <w:jc w:val="both"/>
        <w:rPr>
          <w:i w:val="1"/>
          <w:u w:val="single"/>
        </w:rPr>
      </w:pPr>
      <w:r w:rsidDel="00000000" w:rsidR="00000000" w:rsidRPr="00000000">
        <w:rPr>
          <w:i w:val="1"/>
          <w:u w:val="single"/>
          <w:rtl w:val="0"/>
        </w:rPr>
        <w:t xml:space="preserve">Animal mobility at Empúries from the Late Bronze Age to Late Antiquity: a complex picture from zooarchaeology and a multi-isotope approach </w:t>
      </w:r>
    </w:p>
    <w:p w:rsidR="00000000" w:rsidDel="00000000" w:rsidP="00000000" w:rsidRDefault="00000000" w:rsidRPr="00000000" w14:paraId="00000303">
      <w:pPr>
        <w:jc w:val="both"/>
        <w:rPr/>
      </w:pPr>
      <w:r w:rsidDel="00000000" w:rsidR="00000000" w:rsidRPr="00000000">
        <w:rPr>
          <w:rtl w:val="0"/>
        </w:rPr>
        <w:t xml:space="preserve">Empúries is a major archaeological site in the Western Mediterranean. Its long and continuous occupation during ca.1,600 years offers a privileged opportunity to assess changes in meat diet and animal mobility from Late Prehistory to Late Antiquity. The work developed during the ERC-StG ZooMWest comprised a synthesis of zooarchaeological data (NISP, biometry) together with 231 carbon/oxygen and 167 strontium isotopic ratios from 60 cattle and caprine teeth sequentially sampled and spanning the whole period of occupation. This paper presents the main zooarchaeological results together with isotopic data reflecting different animal mobility patterns through time (Late Bronze Age, Middle Iron Age, Early Roman Empire, Late Antiquity). The isotopic and zooarchaeological results are contextualised with the socio-economic dynamics of each period and their impact on livestock management strategies, which entailed major changes in meat diet, animal size and livestock mobility.</w:t>
      </w:r>
    </w:p>
    <w:p w:rsidR="00000000" w:rsidDel="00000000" w:rsidP="00000000" w:rsidRDefault="00000000" w:rsidRPr="00000000" w14:paraId="00000304">
      <w:pPr>
        <w:jc w:val="both"/>
        <w:rPr>
          <w:i w:val="1"/>
        </w:rPr>
      </w:pPr>
      <w:r w:rsidDel="00000000" w:rsidR="00000000" w:rsidRPr="00000000">
        <w:rPr>
          <w:i w:val="1"/>
          <w:rtl w:val="0"/>
        </w:rPr>
        <w:t xml:space="preserve">Key words: Cattle, caprines, strontium, carbon, oxygen, NE Iberia.</w:t>
      </w:r>
    </w:p>
    <w:p w:rsidR="00000000" w:rsidDel="00000000" w:rsidP="00000000" w:rsidRDefault="00000000" w:rsidRPr="00000000" w14:paraId="00000305">
      <w:pPr>
        <w:jc w:val="both"/>
        <w:rPr/>
      </w:pPr>
      <w:r w:rsidDel="00000000" w:rsidR="00000000" w:rsidRPr="00000000">
        <w:rPr>
          <w:rtl w:val="0"/>
        </w:rPr>
      </w:r>
    </w:p>
    <w:p w:rsidR="00000000" w:rsidDel="00000000" w:rsidP="00000000" w:rsidRDefault="00000000" w:rsidRPr="00000000" w14:paraId="00000306">
      <w:pPr>
        <w:jc w:val="both"/>
        <w:rPr>
          <w:b w:val="1"/>
        </w:rPr>
      </w:pPr>
      <w:r w:rsidDel="00000000" w:rsidR="00000000" w:rsidRPr="00000000">
        <w:rPr>
          <w:rtl w:val="0"/>
        </w:rPr>
      </w:r>
    </w:p>
    <w:p w:rsidR="00000000" w:rsidDel="00000000" w:rsidP="00000000" w:rsidRDefault="00000000" w:rsidRPr="00000000" w14:paraId="00000307">
      <w:pPr>
        <w:jc w:val="both"/>
        <w:rPr>
          <w:b w:val="1"/>
        </w:rPr>
      </w:pPr>
      <w:bookmarkStart w:colFirst="0" w:colLast="0" w:name="_heading=h.2jxsxqh" w:id="19"/>
      <w:bookmarkEnd w:id="19"/>
      <w:r w:rsidDel="00000000" w:rsidR="00000000" w:rsidRPr="00000000">
        <w:rPr>
          <w:b w:val="1"/>
          <w:rtl w:val="0"/>
        </w:rPr>
        <w:t xml:space="preserve">Freya Riedel, </w:t>
        <w:tab/>
      </w:r>
      <w:r w:rsidDel="00000000" w:rsidR="00000000" w:rsidRPr="00000000">
        <w:rPr>
          <w:b w:val="1"/>
          <w:rtl w:val="0"/>
        </w:rPr>
        <w:t xml:space="preserve">Dorothée Drucker, Britt Starkovich, Simon Trixl</w:t>
      </w:r>
    </w:p>
    <w:p w:rsidR="00000000" w:rsidDel="00000000" w:rsidP="00000000" w:rsidRDefault="00000000" w:rsidRPr="00000000" w14:paraId="00000308">
      <w:pPr>
        <w:jc w:val="both"/>
        <w:rPr>
          <w:sz w:val="20"/>
          <w:szCs w:val="20"/>
        </w:rPr>
      </w:pPr>
      <w:bookmarkStart w:colFirst="0" w:colLast="0" w:name="_heading=h.2jxsxqh" w:id="19"/>
      <w:bookmarkEnd w:id="19"/>
      <w:r w:rsidDel="00000000" w:rsidR="00000000" w:rsidRPr="00000000">
        <w:rPr>
          <w:sz w:val="20"/>
          <w:szCs w:val="20"/>
          <w:rtl w:val="0"/>
        </w:rPr>
        <w:t xml:space="preserve">Eberhard-Karls-Universität Tübingen, Germany</w:t>
      </w:r>
    </w:p>
    <w:p w:rsidR="00000000" w:rsidDel="00000000" w:rsidP="00000000" w:rsidRDefault="00000000" w:rsidRPr="00000000" w14:paraId="00000309">
      <w:pPr>
        <w:jc w:val="both"/>
        <w:rPr>
          <w:b w:val="1"/>
        </w:rPr>
      </w:pPr>
      <w:r w:rsidDel="00000000" w:rsidR="00000000" w:rsidRPr="00000000">
        <w:rPr>
          <w:rtl w:val="0"/>
        </w:rPr>
      </w:r>
    </w:p>
    <w:p w:rsidR="00000000" w:rsidDel="00000000" w:rsidP="00000000" w:rsidRDefault="00000000" w:rsidRPr="00000000" w14:paraId="0000030A">
      <w:pPr>
        <w:jc w:val="both"/>
        <w:rPr>
          <w:i w:val="1"/>
          <w:u w:val="single"/>
        </w:rPr>
      </w:pPr>
      <w:r w:rsidDel="00000000" w:rsidR="00000000" w:rsidRPr="00000000">
        <w:rPr>
          <w:i w:val="1"/>
          <w:u w:val="single"/>
          <w:rtl w:val="0"/>
        </w:rPr>
        <w:t xml:space="preserve">Weather matters - Reconstructing climate and life histories of Roman-Germanic Equids from Heddesheim (GER) through 18O/13C analysis</w:t>
      </w:r>
    </w:p>
    <w:p w:rsidR="00000000" w:rsidDel="00000000" w:rsidP="00000000" w:rsidRDefault="00000000" w:rsidRPr="00000000" w14:paraId="0000030B">
      <w:pPr>
        <w:jc w:val="both"/>
        <w:rPr/>
      </w:pPr>
      <w:r w:rsidDel="00000000" w:rsidR="00000000" w:rsidRPr="00000000">
        <w:rPr>
          <w:rtl w:val="0"/>
        </w:rPr>
        <w:t xml:space="preserve">While climatic reconstruction through the application of oxygen isotopes on larger scales (through sediment/ice bore cores) is widely used and known, another method giving valuable insights is the analysis of mammalian teeth which display a microclimatic record. Especially analysing hypsodont (high-crowned) teeth through serial sampling, displays the signals of water and fodder – and following the climatic signals - over the whole time in which the formation and mineralization of the relative tooth took place. A wild/unmanaged animal from a region with distinct seasons should display one or more sinusoidal curves with summer and winter highs and lows. However, in younger, especially historical times, animal management leads to various changes in animal lives, including movement, feeding, and watering practices. In this study, Equid skeletons stemming from a Romanised Germanic settlement in Heddesheim, Germany were analysed, dated to the 3rd/4th century CE. This time is mostly characterised through turmoil and the fall of the Limes 259/260 CE, when Romans retreated from right of the Rhine, leaving the Romanised population behind, while the Alamanni invaded the Empire. Additionally the ensuing end of the Western Roman Empire followed by the “Migration period” are marked by climatic fluctuations (e.g. colder summers). Here, nine teeth from three equids were serial sampled (P2, M2, M3) to depict the longest possible range from ca. 0.5 to 4.5 years of the animals lives. Oxygen and carbon isotopes were taken for assessments about fodder and water intake and mobility, plus to gain an estimate of the according climate in which they lived. The analysis is therefore interesting both in a broader sense of climatic conditions of the respective time but also shine light on trade and economy of Germanic populations under and after Roman power and animal husbandry and care, especially in times of major change in European history.</w:t>
      </w:r>
    </w:p>
    <w:p w:rsidR="00000000" w:rsidDel="00000000" w:rsidP="00000000" w:rsidRDefault="00000000" w:rsidRPr="00000000" w14:paraId="0000030C">
      <w:pPr>
        <w:jc w:val="both"/>
        <w:rPr>
          <w:i w:val="1"/>
        </w:rPr>
      </w:pPr>
      <w:r w:rsidDel="00000000" w:rsidR="00000000" w:rsidRPr="00000000">
        <w:rPr>
          <w:i w:val="1"/>
          <w:rtl w:val="0"/>
        </w:rPr>
        <w:t xml:space="preserve">Keywords: Roman Empire, Isotope Analysis, Roman-time equids, husbandry, Romanized Germanic, climatic reconstruction.</w:t>
      </w:r>
    </w:p>
    <w:p w:rsidR="00000000" w:rsidDel="00000000" w:rsidP="00000000" w:rsidRDefault="00000000" w:rsidRPr="00000000" w14:paraId="0000030D">
      <w:pPr>
        <w:jc w:val="both"/>
        <w:rPr>
          <w:b w:val="1"/>
        </w:rPr>
      </w:pPr>
      <w:r w:rsidDel="00000000" w:rsidR="00000000" w:rsidRPr="00000000">
        <w:rPr>
          <w:rtl w:val="0"/>
        </w:rPr>
      </w:r>
    </w:p>
    <w:p w:rsidR="00000000" w:rsidDel="00000000" w:rsidP="00000000" w:rsidRDefault="00000000" w:rsidRPr="00000000" w14:paraId="0000030E">
      <w:pPr>
        <w:jc w:val="both"/>
        <w:rPr>
          <w:b w:val="1"/>
        </w:rPr>
      </w:pPr>
      <w:r w:rsidDel="00000000" w:rsidR="00000000" w:rsidRPr="00000000">
        <w:rPr>
          <w:rtl w:val="0"/>
        </w:rPr>
      </w:r>
    </w:p>
    <w:p w:rsidR="00000000" w:rsidDel="00000000" w:rsidP="00000000" w:rsidRDefault="00000000" w:rsidRPr="00000000" w14:paraId="0000030F">
      <w:pPr>
        <w:jc w:val="both"/>
        <w:rPr>
          <w:b w:val="1"/>
        </w:rPr>
      </w:pPr>
      <w:bookmarkStart w:colFirst="0" w:colLast="0" w:name="_heading=h.z337ya" w:id="20"/>
      <w:bookmarkEnd w:id="20"/>
      <w:r w:rsidDel="00000000" w:rsidR="00000000" w:rsidRPr="00000000">
        <w:rPr>
          <w:b w:val="1"/>
          <w:rtl w:val="0"/>
        </w:rPr>
        <w:t xml:space="preserve">Eleutério Abreu De Sousa</w:t>
      </w:r>
    </w:p>
    <w:p w:rsidR="00000000" w:rsidDel="00000000" w:rsidP="00000000" w:rsidRDefault="00000000" w:rsidRPr="00000000" w14:paraId="00000310">
      <w:pPr>
        <w:jc w:val="both"/>
        <w:rPr>
          <w:sz w:val="20"/>
          <w:szCs w:val="20"/>
        </w:rPr>
      </w:pPr>
      <w:r w:rsidDel="00000000" w:rsidR="00000000" w:rsidRPr="00000000">
        <w:rPr>
          <w:sz w:val="20"/>
          <w:szCs w:val="20"/>
          <w:rtl w:val="0"/>
        </w:rPr>
        <w:t xml:space="preserve">Macquarie University, Australia</w:t>
      </w:r>
    </w:p>
    <w:p w:rsidR="00000000" w:rsidDel="00000000" w:rsidP="00000000" w:rsidRDefault="00000000" w:rsidRPr="00000000" w14:paraId="00000311">
      <w:pPr>
        <w:jc w:val="both"/>
        <w:rPr/>
      </w:pPr>
      <w:r w:rsidDel="00000000" w:rsidR="00000000" w:rsidRPr="00000000">
        <w:rPr>
          <w:rtl w:val="0"/>
        </w:rPr>
      </w:r>
    </w:p>
    <w:p w:rsidR="00000000" w:rsidDel="00000000" w:rsidP="00000000" w:rsidRDefault="00000000" w:rsidRPr="00000000" w14:paraId="00000312">
      <w:pPr>
        <w:jc w:val="both"/>
        <w:rPr>
          <w:u w:val="single"/>
        </w:rPr>
      </w:pPr>
      <w:r w:rsidDel="00000000" w:rsidR="00000000" w:rsidRPr="00000000">
        <w:rPr>
          <w:i w:val="1"/>
          <w:u w:val="single"/>
          <w:rtl w:val="0"/>
        </w:rPr>
        <w:t xml:space="preserve">Interregional cattle exchange between Egypt and the Levant during the Early Bronze Age</w:t>
      </w:r>
      <w:r w:rsidDel="00000000" w:rsidR="00000000" w:rsidRPr="00000000">
        <w:rPr>
          <w:u w:val="single"/>
          <w:rtl w:val="0"/>
        </w:rPr>
        <w:t xml:space="preserve"> </w:t>
      </w:r>
    </w:p>
    <w:p w:rsidR="00000000" w:rsidDel="00000000" w:rsidP="00000000" w:rsidRDefault="00000000" w:rsidRPr="00000000" w14:paraId="00000313">
      <w:pPr>
        <w:jc w:val="both"/>
        <w:rPr/>
      </w:pPr>
      <w:r w:rsidDel="00000000" w:rsidR="00000000" w:rsidRPr="00000000">
        <w:rPr>
          <w:rtl w:val="0"/>
        </w:rPr>
        <w:t xml:space="preserve">A preliminary survey of isotopic data from bovines of the Egypto-Levantine landscape. Abstract: Archaeological evidence and limited texts provide evidence for trade and cultural connections between Egypt and the Levant for the Old Kingdom/Early Bronze Ages (c. 3700-2100 BC). The wide range of non-local imports on both sides of the border has led to the belief that Egypto-Levantine interrelations existed in the Early Bronze Age. Evidence based on archaeological, textual, and zooarchaeological sources from Egypt and Levant suggest that cattle were important to the religious, societal, and economical spheres of society. However, it is unclear whether animals (particularly cattle) were involved as goods in trade at the interregional level. Old Kingdom iconographic and literary evidence including the Royal Annals, suggest that cattle transport may have occurred on a consequential basis as war booty. The ancient sources therefore, demonstrate a gap that does not outline the use of animals in interregional trade relations. This research explores the question of animal movement from an isotopic perspective to better understand if cattle were part of Levantine interregional trade relations with Egypt. In light of this question, the study presents preliminary isotopic data from bovine and plant remains in Egypt and the Levant to better understand the possibility of cattle movement across the Early Bronze Age landscape.</w:t>
      </w:r>
    </w:p>
    <w:p w:rsidR="00000000" w:rsidDel="00000000" w:rsidP="00000000" w:rsidRDefault="00000000" w:rsidRPr="00000000" w14:paraId="00000314">
      <w:pPr>
        <w:jc w:val="both"/>
        <w:rPr>
          <w:i w:val="1"/>
        </w:rPr>
      </w:pPr>
      <w:r w:rsidDel="00000000" w:rsidR="00000000" w:rsidRPr="00000000">
        <w:rPr>
          <w:i w:val="1"/>
          <w:rtl w:val="0"/>
        </w:rPr>
        <w:t xml:space="preserve">Keywords: Mobility, Animal management, Isotopes.</w:t>
      </w:r>
    </w:p>
    <w:p w:rsidR="00000000" w:rsidDel="00000000" w:rsidP="00000000" w:rsidRDefault="00000000" w:rsidRPr="00000000" w14:paraId="00000315">
      <w:pPr>
        <w:jc w:val="both"/>
        <w:rPr/>
      </w:pPr>
      <w:r w:rsidDel="00000000" w:rsidR="00000000" w:rsidRPr="00000000">
        <w:rPr>
          <w:rtl w:val="0"/>
        </w:rPr>
      </w:r>
    </w:p>
    <w:p w:rsidR="00000000" w:rsidDel="00000000" w:rsidP="00000000" w:rsidRDefault="00000000" w:rsidRPr="00000000" w14:paraId="00000316">
      <w:pPr>
        <w:jc w:val="both"/>
        <w:rPr/>
      </w:pPr>
      <w:r w:rsidDel="00000000" w:rsidR="00000000" w:rsidRPr="00000000">
        <w:rPr>
          <w:rtl w:val="0"/>
        </w:rPr>
      </w:r>
    </w:p>
    <w:p w:rsidR="00000000" w:rsidDel="00000000" w:rsidP="00000000" w:rsidRDefault="00000000" w:rsidRPr="00000000" w14:paraId="00000317">
      <w:pPr>
        <w:jc w:val="both"/>
        <w:rPr>
          <w:b w:val="1"/>
        </w:rPr>
      </w:pPr>
      <w:bookmarkStart w:colFirst="0" w:colLast="0" w:name="_heading=h.3j2qqm3" w:id="21"/>
      <w:bookmarkEnd w:id="21"/>
      <w:r w:rsidDel="00000000" w:rsidR="00000000" w:rsidRPr="00000000">
        <w:rPr>
          <w:b w:val="1"/>
          <w:rtl w:val="0"/>
        </w:rPr>
        <w:t xml:space="preserve">Aleksa Alaica1, Luis Manuel González La Rosa2, Kelly Knudson3 </w:t>
      </w:r>
    </w:p>
    <w:p w:rsidR="00000000" w:rsidDel="00000000" w:rsidP="00000000" w:rsidRDefault="00000000" w:rsidRPr="00000000" w14:paraId="00000318">
      <w:pPr>
        <w:jc w:val="both"/>
        <w:rPr>
          <w:sz w:val="20"/>
          <w:szCs w:val="20"/>
        </w:rPr>
      </w:pPr>
      <w:r w:rsidDel="00000000" w:rsidR="00000000" w:rsidRPr="00000000">
        <w:rPr>
          <w:sz w:val="20"/>
          <w:szCs w:val="20"/>
          <w:rtl w:val="0"/>
        </w:rPr>
        <w:t xml:space="preserve">1University of British Columbia, Canada</w:t>
      </w:r>
    </w:p>
    <w:p w:rsidR="00000000" w:rsidDel="00000000" w:rsidP="00000000" w:rsidRDefault="00000000" w:rsidRPr="00000000" w14:paraId="00000319">
      <w:pPr>
        <w:jc w:val="both"/>
        <w:rPr>
          <w:sz w:val="20"/>
          <w:szCs w:val="20"/>
        </w:rPr>
      </w:pPr>
      <w:r w:rsidDel="00000000" w:rsidR="00000000" w:rsidRPr="00000000">
        <w:rPr>
          <w:sz w:val="20"/>
          <w:szCs w:val="20"/>
          <w:rtl w:val="0"/>
        </w:rPr>
        <w:t xml:space="preserve">2Archaeology Centre, University of Toronto, Canada</w:t>
      </w:r>
    </w:p>
    <w:p w:rsidR="00000000" w:rsidDel="00000000" w:rsidP="00000000" w:rsidRDefault="00000000" w:rsidRPr="00000000" w14:paraId="0000031A">
      <w:pPr>
        <w:jc w:val="both"/>
        <w:rPr>
          <w:sz w:val="20"/>
          <w:szCs w:val="20"/>
        </w:rPr>
      </w:pPr>
      <w:r w:rsidDel="00000000" w:rsidR="00000000" w:rsidRPr="00000000">
        <w:rPr>
          <w:sz w:val="20"/>
          <w:szCs w:val="20"/>
          <w:rtl w:val="0"/>
        </w:rPr>
        <w:t xml:space="preserve">3Arizona State University, USA</w:t>
      </w:r>
    </w:p>
    <w:p w:rsidR="00000000" w:rsidDel="00000000" w:rsidP="00000000" w:rsidRDefault="00000000" w:rsidRPr="00000000" w14:paraId="0000031B">
      <w:pPr>
        <w:jc w:val="both"/>
        <w:rPr>
          <w:b w:val="1"/>
        </w:rPr>
      </w:pPr>
      <w:r w:rsidDel="00000000" w:rsidR="00000000" w:rsidRPr="00000000">
        <w:rPr>
          <w:rtl w:val="0"/>
        </w:rPr>
      </w:r>
    </w:p>
    <w:p w:rsidR="00000000" w:rsidDel="00000000" w:rsidP="00000000" w:rsidRDefault="00000000" w:rsidRPr="00000000" w14:paraId="0000031C">
      <w:pPr>
        <w:jc w:val="both"/>
        <w:rPr>
          <w:i w:val="1"/>
          <w:u w:val="single"/>
        </w:rPr>
      </w:pPr>
      <w:r w:rsidDel="00000000" w:rsidR="00000000" w:rsidRPr="00000000">
        <w:rPr>
          <w:i w:val="1"/>
          <w:u w:val="single"/>
          <w:rtl w:val="0"/>
        </w:rPr>
        <w:t xml:space="preserve">At the site level: Interrogating isotopic patterns among fauna from households, plazas, and elite spaces in the ancient Andes</w:t>
      </w:r>
    </w:p>
    <w:p w:rsidR="00000000" w:rsidDel="00000000" w:rsidP="00000000" w:rsidRDefault="00000000" w:rsidRPr="00000000" w14:paraId="0000031D">
      <w:pPr>
        <w:jc w:val="both"/>
        <w:rPr/>
      </w:pPr>
      <w:r w:rsidDel="00000000" w:rsidR="00000000" w:rsidRPr="00000000">
        <w:rPr>
          <w:rtl w:val="0"/>
        </w:rPr>
        <w:t xml:space="preserve">Examining animal management through isotopes at the site level is important for understanding the overall way that communities invested in livestock. With good spatial control and large sample sizes though we can also investigate the way intra-site variability correlates with socioeconomic status and political control, which involves an interrogation of our isotope datasets from domestic spaces, large patio areas, and ceremonial deposits. In this paper, we explore the potential of a spatial-isotopic perspective to revealing the way that communities in the ancient Andes were exploiting and caring for their camelid herds but also how isotope variation compares to dogs, guinea pigs, and humans. With examples from the North Coast and south-central highlands of Peru, we detect nuances in the way that animals have been managed, traded, and slaughtered for various daily and major annual events. Being attuned to the contextual origin of our isotope samples, but also the other types of material culture found in these spaces, we can obtain greater clarity on the significance of our isotope research. Moving forward in this direction of in-depth dialogue with many specialists across archaeology can permit our contribution to meaningful interpretation about the past, but also lessons on how past strategies were effective in sustainability efforts for human and non-human populations.</w:t>
      </w:r>
    </w:p>
    <w:p w:rsidR="00000000" w:rsidDel="00000000" w:rsidP="00000000" w:rsidRDefault="00000000" w:rsidRPr="00000000" w14:paraId="0000031E">
      <w:pPr>
        <w:jc w:val="both"/>
        <w:rPr>
          <w:i w:val="1"/>
        </w:rPr>
      </w:pPr>
      <w:r w:rsidDel="00000000" w:rsidR="00000000" w:rsidRPr="00000000">
        <w:rPr>
          <w:i w:val="1"/>
          <w:rtl w:val="0"/>
        </w:rPr>
        <w:t xml:space="preserve">Keywords: Andes, pastoralism, livestock management, mobility, trade.</w:t>
      </w:r>
    </w:p>
    <w:p w:rsidR="00000000" w:rsidDel="00000000" w:rsidP="00000000" w:rsidRDefault="00000000" w:rsidRPr="00000000" w14:paraId="0000031F">
      <w:pPr>
        <w:jc w:val="both"/>
        <w:rPr/>
      </w:pPr>
      <w:r w:rsidDel="00000000" w:rsidR="00000000" w:rsidRPr="00000000">
        <w:rPr>
          <w:rtl w:val="0"/>
        </w:rPr>
      </w:r>
    </w:p>
    <w:p w:rsidR="00000000" w:rsidDel="00000000" w:rsidP="00000000" w:rsidRDefault="00000000" w:rsidRPr="00000000" w14:paraId="00000320">
      <w:pPr>
        <w:jc w:val="both"/>
        <w:rPr/>
      </w:pPr>
      <w:r w:rsidDel="00000000" w:rsidR="00000000" w:rsidRPr="00000000">
        <w:rPr>
          <w:rtl w:val="0"/>
        </w:rPr>
      </w:r>
    </w:p>
    <w:p w:rsidR="00000000" w:rsidDel="00000000" w:rsidP="00000000" w:rsidRDefault="00000000" w:rsidRPr="00000000" w14:paraId="00000321">
      <w:pPr>
        <w:jc w:val="both"/>
        <w:rPr>
          <w:b w:val="1"/>
        </w:rPr>
      </w:pPr>
      <w:bookmarkStart w:colFirst="0" w:colLast="0" w:name="_heading=h.1y810tw" w:id="22"/>
      <w:bookmarkEnd w:id="22"/>
      <w:r w:rsidDel="00000000" w:rsidR="00000000" w:rsidRPr="00000000">
        <w:rPr>
          <w:b w:val="1"/>
          <w:rtl w:val="0"/>
        </w:rPr>
        <w:t xml:space="preserve">Lua Valenzuela-Suau1, Sílvia Valenzuela-Lamas2, Leopoldo D. Pena3, Marta Díaz-Zorita Bonilla4, Damià Ramis5</w:t>
      </w:r>
    </w:p>
    <w:p w:rsidR="00000000" w:rsidDel="00000000" w:rsidP="00000000" w:rsidRDefault="00000000" w:rsidRPr="00000000" w14:paraId="00000322">
      <w:pPr>
        <w:jc w:val="both"/>
        <w:rPr>
          <w:sz w:val="20"/>
          <w:szCs w:val="20"/>
        </w:rPr>
      </w:pPr>
      <w:r w:rsidDel="00000000" w:rsidR="00000000" w:rsidRPr="00000000">
        <w:rPr>
          <w:sz w:val="20"/>
          <w:szCs w:val="20"/>
          <w:rtl w:val="0"/>
        </w:rPr>
        <w:t xml:space="preserve">1ArchaeoUIB Research Group. Universitat de les Illes Balears. Dpt. de Ciències Històriques i Teoria de les Arts. Crtra de Valldemossa, km 7,5. 07122 Palma (Spain).  SERP Research Group, Secció de Prehistòria i Arqueologia, Departament d’Història i Arqueologia. Institut d’Arqueologia-UB. Facultat de Geografia i Història, Universitat de Barcelona, Montalegre, 6, E-08001, Barcelona (Spain).</w:t>
      </w:r>
    </w:p>
    <w:p w:rsidR="00000000" w:rsidDel="00000000" w:rsidP="00000000" w:rsidRDefault="00000000" w:rsidRPr="00000000" w14:paraId="00000323">
      <w:pPr>
        <w:jc w:val="both"/>
        <w:rPr>
          <w:sz w:val="20"/>
          <w:szCs w:val="20"/>
        </w:rPr>
      </w:pPr>
      <w:r w:rsidDel="00000000" w:rsidR="00000000" w:rsidRPr="00000000">
        <w:rPr>
          <w:sz w:val="20"/>
          <w:szCs w:val="20"/>
          <w:rtl w:val="0"/>
        </w:rPr>
        <w:t xml:space="preserve">2Archaeology of Social Dynamics (ASD), Consejo Superior de Investigaciones Científicas-Institució Milà i Fontanals (CSIC-IMF). Carrer de les Egipcíaques, 15, 08001, Barcelona (Spain).</w:t>
      </w:r>
    </w:p>
    <w:p w:rsidR="00000000" w:rsidDel="00000000" w:rsidP="00000000" w:rsidRDefault="00000000" w:rsidRPr="00000000" w14:paraId="00000324">
      <w:pPr>
        <w:jc w:val="both"/>
        <w:rPr>
          <w:sz w:val="20"/>
          <w:szCs w:val="20"/>
        </w:rPr>
      </w:pPr>
      <w:r w:rsidDel="00000000" w:rsidR="00000000" w:rsidRPr="00000000">
        <w:rPr>
          <w:sz w:val="20"/>
          <w:szCs w:val="20"/>
          <w:rtl w:val="0"/>
        </w:rPr>
        <w:t xml:space="preserve">3Geociències Marines. Facultat de Ciències de la Terra, Universitat de Barcelona. Dpt. de Dinàmica de la Terra i de l'Oceà. C/ Martí Franquès s/n, 08028 Barcelona (Spain).</w:t>
      </w:r>
    </w:p>
    <w:p w:rsidR="00000000" w:rsidDel="00000000" w:rsidP="00000000" w:rsidRDefault="00000000" w:rsidRPr="00000000" w14:paraId="00000325">
      <w:pPr>
        <w:jc w:val="both"/>
        <w:rPr>
          <w:sz w:val="20"/>
          <w:szCs w:val="20"/>
        </w:rPr>
      </w:pPr>
      <w:r w:rsidDel="00000000" w:rsidR="00000000" w:rsidRPr="00000000">
        <w:rPr>
          <w:sz w:val="20"/>
          <w:szCs w:val="20"/>
          <w:rtl w:val="0"/>
        </w:rPr>
        <w:t xml:space="preserve">4Institut für Ur- und Frühgeschichte und Archäologie des Mittelalters University of Tübingen. Hölderlinstr, 12, 72074. Tübingen (Germany).</w:t>
      </w:r>
    </w:p>
    <w:p w:rsidR="00000000" w:rsidDel="00000000" w:rsidP="00000000" w:rsidRDefault="00000000" w:rsidRPr="00000000" w14:paraId="00000326">
      <w:pPr>
        <w:jc w:val="both"/>
        <w:rPr>
          <w:sz w:val="20"/>
          <w:szCs w:val="20"/>
        </w:rPr>
      </w:pPr>
      <w:r w:rsidDel="00000000" w:rsidR="00000000" w:rsidRPr="00000000">
        <w:rPr>
          <w:sz w:val="20"/>
          <w:szCs w:val="20"/>
          <w:rtl w:val="0"/>
        </w:rPr>
        <w:t xml:space="preserve">5Independent Researcher.</w:t>
      </w:r>
    </w:p>
    <w:p w:rsidR="00000000" w:rsidDel="00000000" w:rsidP="00000000" w:rsidRDefault="00000000" w:rsidRPr="00000000" w14:paraId="00000327">
      <w:pPr>
        <w:jc w:val="both"/>
        <w:rPr>
          <w:i w:val="1"/>
        </w:rPr>
      </w:pPr>
      <w:r w:rsidDel="00000000" w:rsidR="00000000" w:rsidRPr="00000000">
        <w:rPr>
          <w:rtl w:val="0"/>
        </w:rPr>
      </w:r>
    </w:p>
    <w:p w:rsidR="00000000" w:rsidDel="00000000" w:rsidP="00000000" w:rsidRDefault="00000000" w:rsidRPr="00000000" w14:paraId="00000328">
      <w:pPr>
        <w:jc w:val="both"/>
        <w:rPr>
          <w:i w:val="1"/>
          <w:u w:val="single"/>
        </w:rPr>
      </w:pPr>
      <w:r w:rsidDel="00000000" w:rsidR="00000000" w:rsidRPr="00000000">
        <w:rPr>
          <w:i w:val="1"/>
          <w:u w:val="single"/>
          <w:rtl w:val="0"/>
        </w:rPr>
        <w:t xml:space="preserve">New data to understand strontium isotopic bioavailability and caprine mobility during the Late Prehistory of the Balearic Islands (Spain) </w:t>
      </w:r>
    </w:p>
    <w:p w:rsidR="00000000" w:rsidDel="00000000" w:rsidP="00000000" w:rsidRDefault="00000000" w:rsidRPr="00000000" w14:paraId="00000329">
      <w:pPr>
        <w:jc w:val="both"/>
        <w:rPr/>
      </w:pPr>
      <w:r w:rsidDel="00000000" w:rsidR="00000000" w:rsidRPr="00000000">
        <w:rPr>
          <w:rtl w:val="0"/>
        </w:rPr>
        <w:t xml:space="preserve">Strontium isotopes (87Sr/86Sr) have been broadly used in Archaeology to discriminate local and non-local humans and animals. In an archipelago context like the Balearic Islands, the application of these analyses enables us to assess how people and animals moved between islands as well as the arrival of new populations. However, there are a number of challenges to consider, most especially when none or limited studies have previously been done on that geographical area. The objective of this study is to go deepen understanding strontium availaiblity of the Balearic Islands and livestock mobility during Recent Prehistory. For this reason, results from 25 new baseline samples from Mallorca, Menorca and Formentera islands and 92 caprine dental enamel will be presented. This is, by far, the most comprehensive strontium analysis of the Balearic Islands and allow us to discuss the limitations of strontium isotopic analysis of the Balearics.</w:t>
      </w:r>
    </w:p>
    <w:p w:rsidR="00000000" w:rsidDel="00000000" w:rsidP="00000000" w:rsidRDefault="00000000" w:rsidRPr="00000000" w14:paraId="0000032A">
      <w:pPr>
        <w:jc w:val="both"/>
        <w:rPr>
          <w:i w:val="1"/>
        </w:rPr>
      </w:pPr>
      <w:r w:rsidDel="00000000" w:rsidR="00000000" w:rsidRPr="00000000">
        <w:rPr>
          <w:i w:val="1"/>
          <w:rtl w:val="0"/>
        </w:rPr>
        <w:t xml:space="preserve">Keywords: Zooarchaeology; Balearic Islands; Mobility; Strontium isotopes.</w:t>
      </w:r>
    </w:p>
    <w:p w:rsidR="00000000" w:rsidDel="00000000" w:rsidP="00000000" w:rsidRDefault="00000000" w:rsidRPr="00000000" w14:paraId="0000032B">
      <w:pPr>
        <w:jc w:val="both"/>
        <w:rPr/>
      </w:pPr>
      <w:r w:rsidDel="00000000" w:rsidR="00000000" w:rsidRPr="00000000">
        <w:rPr>
          <w:rtl w:val="0"/>
        </w:rPr>
      </w:r>
    </w:p>
    <w:p w:rsidR="00000000" w:rsidDel="00000000" w:rsidP="00000000" w:rsidRDefault="00000000" w:rsidRPr="00000000" w14:paraId="0000032C">
      <w:pPr>
        <w:jc w:val="both"/>
        <w:rPr/>
      </w:pPr>
      <w:r w:rsidDel="00000000" w:rsidR="00000000" w:rsidRPr="00000000">
        <w:rPr>
          <w:rtl w:val="0"/>
        </w:rPr>
      </w:r>
    </w:p>
    <w:p w:rsidR="00000000" w:rsidDel="00000000" w:rsidP="00000000" w:rsidRDefault="00000000" w:rsidRPr="00000000" w14:paraId="0000032D">
      <w:pPr>
        <w:jc w:val="both"/>
        <w:rPr>
          <w:b w:val="1"/>
          <w:sz w:val="32"/>
          <w:szCs w:val="32"/>
        </w:rPr>
      </w:pPr>
      <w:r w:rsidDel="00000000" w:rsidR="00000000" w:rsidRPr="00000000">
        <w:rPr>
          <w:rtl w:val="0"/>
        </w:rPr>
      </w:r>
    </w:p>
    <w:p w:rsidR="00000000" w:rsidDel="00000000" w:rsidP="00000000" w:rsidRDefault="00000000" w:rsidRPr="00000000" w14:paraId="0000032E">
      <w:pPr>
        <w:jc w:val="both"/>
        <w:rPr>
          <w:b w:val="1"/>
          <w:sz w:val="32"/>
          <w:szCs w:val="32"/>
        </w:rPr>
      </w:pPr>
      <w:r w:rsidDel="00000000" w:rsidR="00000000" w:rsidRPr="00000000">
        <w:rPr>
          <w:rtl w:val="0"/>
        </w:rPr>
      </w:r>
    </w:p>
    <w:p w:rsidR="00000000" w:rsidDel="00000000" w:rsidP="00000000" w:rsidRDefault="00000000" w:rsidRPr="00000000" w14:paraId="0000032F">
      <w:pPr>
        <w:jc w:val="both"/>
        <w:rPr>
          <w:b w:val="1"/>
          <w:sz w:val="32"/>
          <w:szCs w:val="32"/>
        </w:rPr>
      </w:pPr>
      <w:r w:rsidDel="00000000" w:rsidR="00000000" w:rsidRPr="00000000">
        <w:rPr>
          <w:rtl w:val="0"/>
        </w:rPr>
      </w:r>
    </w:p>
    <w:p w:rsidR="00000000" w:rsidDel="00000000" w:rsidP="00000000" w:rsidRDefault="00000000" w:rsidRPr="00000000" w14:paraId="00000330">
      <w:pPr>
        <w:jc w:val="both"/>
        <w:rPr>
          <w:b w:val="1"/>
          <w:sz w:val="32"/>
          <w:szCs w:val="32"/>
        </w:rPr>
      </w:pPr>
      <w:r w:rsidDel="00000000" w:rsidR="00000000" w:rsidRPr="00000000">
        <w:rPr>
          <w:b w:val="1"/>
          <w:sz w:val="32"/>
          <w:szCs w:val="32"/>
          <w:rtl w:val="0"/>
        </w:rPr>
        <w:t xml:space="preserve">Posters</w:t>
      </w:r>
    </w:p>
    <w:p w:rsidR="00000000" w:rsidDel="00000000" w:rsidP="00000000" w:rsidRDefault="00000000" w:rsidRPr="00000000" w14:paraId="00000331">
      <w:pPr>
        <w:jc w:val="both"/>
        <w:rPr/>
      </w:pPr>
      <w:r w:rsidDel="00000000" w:rsidR="00000000" w:rsidRPr="00000000">
        <w:rPr>
          <w:rtl w:val="0"/>
        </w:rPr>
      </w:r>
    </w:p>
    <w:p w:rsidR="00000000" w:rsidDel="00000000" w:rsidP="00000000" w:rsidRDefault="00000000" w:rsidRPr="00000000" w14:paraId="00000332">
      <w:pPr>
        <w:jc w:val="both"/>
        <w:rPr>
          <w:b w:val="1"/>
        </w:rPr>
      </w:pPr>
      <w:r w:rsidDel="00000000" w:rsidR="00000000" w:rsidRPr="00000000">
        <w:rPr>
          <w:b w:val="1"/>
          <w:rtl w:val="0"/>
        </w:rPr>
        <w:t xml:space="preserve">Jana Eger</w:t>
      </w:r>
      <w:r w:rsidDel="00000000" w:rsidR="00000000" w:rsidRPr="00000000">
        <w:rPr>
          <w:b w:val="1"/>
          <w:vertAlign w:val="superscript"/>
          <w:rtl w:val="0"/>
        </w:rPr>
        <w:t xml:space="preserve">1</w:t>
      </w:r>
      <w:r w:rsidDel="00000000" w:rsidR="00000000" w:rsidRPr="00000000">
        <w:rPr>
          <w:b w:val="1"/>
          <w:rtl w:val="0"/>
        </w:rPr>
        <w:t xml:space="preserve">, Claudia Gerling</w:t>
      </w:r>
      <w:r w:rsidDel="00000000" w:rsidR="00000000" w:rsidRPr="00000000">
        <w:rPr>
          <w:b w:val="1"/>
          <w:vertAlign w:val="superscript"/>
          <w:rtl w:val="0"/>
        </w:rPr>
        <w:t xml:space="preserve">2</w:t>
      </w:r>
      <w:r w:rsidDel="00000000" w:rsidR="00000000" w:rsidRPr="00000000">
        <w:rPr>
          <w:b w:val="1"/>
          <w:rtl w:val="0"/>
        </w:rPr>
        <w:t xml:space="preserve">, Martin Riesenberg</w:t>
      </w:r>
      <w:r w:rsidDel="00000000" w:rsidR="00000000" w:rsidRPr="00000000">
        <w:rPr>
          <w:b w:val="1"/>
          <w:vertAlign w:val="superscript"/>
          <w:rtl w:val="0"/>
        </w:rPr>
        <w:t xml:space="preserve">1</w:t>
      </w:r>
      <w:r w:rsidDel="00000000" w:rsidR="00000000" w:rsidRPr="00000000">
        <w:rPr>
          <w:b w:val="1"/>
          <w:rtl w:val="0"/>
        </w:rPr>
        <w:t xml:space="preserve">, Evgenii Gak</w:t>
      </w:r>
      <w:r w:rsidDel="00000000" w:rsidR="00000000" w:rsidRPr="00000000">
        <w:rPr>
          <w:b w:val="1"/>
          <w:vertAlign w:val="superscript"/>
          <w:rtl w:val="0"/>
        </w:rPr>
        <w:t xml:space="preserve">3</w:t>
      </w:r>
      <w:r w:rsidDel="00000000" w:rsidR="00000000" w:rsidRPr="00000000">
        <w:rPr>
          <w:b w:val="1"/>
          <w:rtl w:val="0"/>
        </w:rPr>
        <w:t xml:space="preserve">, Elke Kaiser</w:t>
      </w:r>
      <w:r w:rsidDel="00000000" w:rsidR="00000000" w:rsidRPr="00000000">
        <w:rPr>
          <w:b w:val="1"/>
          <w:vertAlign w:val="superscript"/>
          <w:rtl w:val="0"/>
        </w:rPr>
        <w:t xml:space="preserve">1</w:t>
      </w:r>
      <w:r w:rsidDel="00000000" w:rsidR="00000000" w:rsidRPr="00000000">
        <w:rPr>
          <w:rtl w:val="0"/>
        </w:rPr>
      </w:r>
    </w:p>
    <w:p w:rsidR="00000000" w:rsidDel="00000000" w:rsidP="00000000" w:rsidRDefault="00000000" w:rsidRPr="00000000" w14:paraId="00000333">
      <w:pPr>
        <w:jc w:val="both"/>
        <w:rPr>
          <w:sz w:val="20"/>
          <w:szCs w:val="20"/>
        </w:rPr>
      </w:pPr>
      <w:r w:rsidDel="00000000" w:rsidR="00000000" w:rsidRPr="00000000">
        <w:rPr>
          <w:sz w:val="20"/>
          <w:szCs w:val="20"/>
          <w:vertAlign w:val="superscript"/>
          <w:rtl w:val="0"/>
        </w:rPr>
        <w:t xml:space="preserve">1</w:t>
      </w:r>
      <w:r w:rsidDel="00000000" w:rsidR="00000000" w:rsidRPr="00000000">
        <w:rPr>
          <w:sz w:val="20"/>
          <w:szCs w:val="20"/>
          <w:rtl w:val="0"/>
        </w:rPr>
        <w:t xml:space="preserve">Institut für Prähistorische Archäologie, Freie Universität Berlin, Germany</w:t>
      </w:r>
    </w:p>
    <w:p w:rsidR="00000000" w:rsidDel="00000000" w:rsidP="00000000" w:rsidRDefault="00000000" w:rsidRPr="00000000" w14:paraId="00000334">
      <w:pPr>
        <w:jc w:val="both"/>
        <w:rPr>
          <w:sz w:val="20"/>
          <w:szCs w:val="20"/>
        </w:rPr>
      </w:pPr>
      <w:r w:rsidDel="00000000" w:rsidR="00000000" w:rsidRPr="00000000">
        <w:rPr>
          <w:sz w:val="20"/>
          <w:szCs w:val="20"/>
          <w:vertAlign w:val="superscript"/>
          <w:rtl w:val="0"/>
        </w:rPr>
        <w:t xml:space="preserve">2</w:t>
      </w:r>
      <w:r w:rsidDel="00000000" w:rsidR="00000000" w:rsidRPr="00000000">
        <w:rPr>
          <w:sz w:val="20"/>
          <w:szCs w:val="20"/>
          <w:rtl w:val="0"/>
        </w:rPr>
        <w:t xml:space="preserve">IPNA, Basel, Universität Basel, Switzerland</w:t>
      </w:r>
    </w:p>
    <w:p w:rsidR="00000000" w:rsidDel="00000000" w:rsidP="00000000" w:rsidRDefault="00000000" w:rsidRPr="00000000" w14:paraId="00000335">
      <w:pPr>
        <w:jc w:val="both"/>
        <w:rPr>
          <w:sz w:val="20"/>
          <w:szCs w:val="20"/>
        </w:rPr>
      </w:pPr>
      <w:r w:rsidDel="00000000" w:rsidR="00000000" w:rsidRPr="00000000">
        <w:rPr>
          <w:sz w:val="20"/>
          <w:szCs w:val="20"/>
          <w:vertAlign w:val="superscript"/>
          <w:rtl w:val="0"/>
        </w:rPr>
        <w:t xml:space="preserve">3</w:t>
      </w:r>
      <w:r w:rsidDel="00000000" w:rsidR="00000000" w:rsidRPr="00000000">
        <w:rPr>
          <w:sz w:val="20"/>
          <w:szCs w:val="20"/>
          <w:rtl w:val="0"/>
        </w:rPr>
        <w:t xml:space="preserve">State Historical Museum Moskau, Russia</w:t>
      </w:r>
    </w:p>
    <w:p w:rsidR="00000000" w:rsidDel="00000000" w:rsidP="00000000" w:rsidRDefault="00000000" w:rsidRPr="00000000" w14:paraId="00000336">
      <w:pPr>
        <w:jc w:val="both"/>
        <w:rPr>
          <w:b w:val="1"/>
        </w:rPr>
      </w:pPr>
      <w:r w:rsidDel="00000000" w:rsidR="00000000" w:rsidRPr="00000000">
        <w:rPr>
          <w:rtl w:val="0"/>
        </w:rPr>
      </w:r>
    </w:p>
    <w:p w:rsidR="00000000" w:rsidDel="00000000" w:rsidP="00000000" w:rsidRDefault="00000000" w:rsidRPr="00000000" w14:paraId="00000337">
      <w:pPr>
        <w:jc w:val="both"/>
        <w:rPr>
          <w:i w:val="1"/>
          <w:u w:val="single"/>
        </w:rPr>
      </w:pPr>
      <w:r w:rsidDel="00000000" w:rsidR="00000000" w:rsidRPr="00000000">
        <w:rPr>
          <w:i w:val="1"/>
          <w:u w:val="single"/>
          <w:rtl w:val="0"/>
        </w:rPr>
        <w:t xml:space="preserve">Isotopic perspectives on pastoral practices at the Middle Bronze Age settlements Ksizovo-1 and Rykan-3</w:t>
      </w:r>
    </w:p>
    <w:p w:rsidR="00000000" w:rsidDel="00000000" w:rsidP="00000000" w:rsidRDefault="00000000" w:rsidRPr="00000000" w14:paraId="00000338">
      <w:pPr>
        <w:jc w:val="both"/>
        <w:rPr/>
      </w:pPr>
      <w:r w:rsidDel="00000000" w:rsidR="00000000" w:rsidRPr="00000000">
        <w:rPr>
          <w:rtl w:val="0"/>
        </w:rPr>
        <w:t xml:space="preserve">The focus of our ongoing project is on the seasonal mobility and subsistence bases of Middle Bronze Age communities in the Don region of Eastern Europe. The faunal material from the site of Ksizovo-1 and Rykan-3, Russia, provide an opportunity to explore the relationships between seasonal mobility and domestic animal husbandry in forest-steppe environments. Here, we present the results of strontium, oxygen and carbon isotope analyses, conducted on tooth enamel of mainly domestic animals (cattle and sheep/goat). Stable isotope analysis in the steppe zones of European Russia during the Bronze Age have so far mostly focused on human mobility and diet, with few exceptions. Our study contributes new data with the objectives to investigate: 1) geographic and seasonal movements of herded animals 2) seasonal grazing and feeding differences; 3) seasonal birth rate within the herd population; 4) the coordination of herd activities and zootechnical knowledge of the societies at that time. We combine the results of the isotope analysis and archaeological evidence from both sites and use this information to draw conclusions about the organization of the pastoral way of life of the people and their herds.</w:t>
      </w:r>
    </w:p>
    <w:p w:rsidR="00000000" w:rsidDel="00000000" w:rsidP="00000000" w:rsidRDefault="00000000" w:rsidRPr="00000000" w14:paraId="00000339">
      <w:pPr>
        <w:jc w:val="both"/>
        <w:rPr>
          <w:i w:val="1"/>
        </w:rPr>
      </w:pPr>
      <w:r w:rsidDel="00000000" w:rsidR="00000000" w:rsidRPr="00000000">
        <w:rPr>
          <w:i w:val="1"/>
          <w:rtl w:val="0"/>
        </w:rPr>
        <w:t xml:space="preserve">Keywords: Middle Bronze Age, East European forest steppe, Tooth enamel, Strontium, Oxygen, Carbon, Animal husbandry.</w:t>
      </w:r>
    </w:p>
    <w:p w:rsidR="00000000" w:rsidDel="00000000" w:rsidP="00000000" w:rsidRDefault="00000000" w:rsidRPr="00000000" w14:paraId="0000033A">
      <w:pPr>
        <w:jc w:val="both"/>
        <w:rPr/>
      </w:pPr>
      <w:r w:rsidDel="00000000" w:rsidR="00000000" w:rsidRPr="00000000">
        <w:rPr>
          <w:rtl w:val="0"/>
        </w:rPr>
      </w:r>
    </w:p>
    <w:p w:rsidR="00000000" w:rsidDel="00000000" w:rsidP="00000000" w:rsidRDefault="00000000" w:rsidRPr="00000000" w14:paraId="0000033B">
      <w:pPr>
        <w:jc w:val="both"/>
        <w:rPr/>
      </w:pPr>
      <w:r w:rsidDel="00000000" w:rsidR="00000000" w:rsidRPr="00000000">
        <w:rPr>
          <w:rtl w:val="0"/>
        </w:rPr>
      </w:r>
    </w:p>
    <w:p w:rsidR="00000000" w:rsidDel="00000000" w:rsidP="00000000" w:rsidRDefault="00000000" w:rsidRPr="00000000" w14:paraId="0000033C">
      <w:pPr>
        <w:jc w:val="both"/>
        <w:rPr>
          <w:b w:val="1"/>
        </w:rPr>
      </w:pPr>
      <w:r w:rsidDel="00000000" w:rsidR="00000000" w:rsidRPr="00000000">
        <w:rPr>
          <w:b w:val="1"/>
          <w:rtl w:val="0"/>
        </w:rPr>
        <w:t xml:space="preserve">Shu Yang, Jacqui Mulville, Ben Jervis</w:t>
      </w:r>
    </w:p>
    <w:p w:rsidR="00000000" w:rsidDel="00000000" w:rsidP="00000000" w:rsidRDefault="00000000" w:rsidRPr="00000000" w14:paraId="0000033D">
      <w:pPr>
        <w:jc w:val="both"/>
        <w:rPr>
          <w:sz w:val="20"/>
          <w:szCs w:val="20"/>
        </w:rPr>
      </w:pPr>
      <w:r w:rsidDel="00000000" w:rsidR="00000000" w:rsidRPr="00000000">
        <w:rPr>
          <w:sz w:val="20"/>
          <w:szCs w:val="20"/>
          <w:rtl w:val="0"/>
        </w:rPr>
        <w:t xml:space="preserve">School of History, Archaeology and Religion, Cardiff university, United Kingdom</w:t>
      </w:r>
    </w:p>
    <w:p w:rsidR="00000000" w:rsidDel="00000000" w:rsidP="00000000" w:rsidRDefault="00000000" w:rsidRPr="00000000" w14:paraId="0000033E">
      <w:pPr>
        <w:jc w:val="both"/>
        <w:rPr/>
      </w:pPr>
      <w:r w:rsidDel="00000000" w:rsidR="00000000" w:rsidRPr="00000000">
        <w:rPr>
          <w:rtl w:val="0"/>
        </w:rPr>
      </w:r>
    </w:p>
    <w:p w:rsidR="00000000" w:rsidDel="00000000" w:rsidP="00000000" w:rsidRDefault="00000000" w:rsidRPr="00000000" w14:paraId="0000033F">
      <w:pPr>
        <w:jc w:val="both"/>
        <w:rPr>
          <w:i w:val="1"/>
          <w:u w:val="single"/>
        </w:rPr>
      </w:pPr>
      <w:r w:rsidDel="00000000" w:rsidR="00000000" w:rsidRPr="00000000">
        <w:rPr>
          <w:i w:val="1"/>
          <w:u w:val="single"/>
          <w:rtl w:val="0"/>
        </w:rPr>
        <w:t xml:space="preserve">Provisioning Medieval Southampton: A Bioarchaeological Approach</w:t>
      </w:r>
    </w:p>
    <w:p w:rsidR="00000000" w:rsidDel="00000000" w:rsidP="00000000" w:rsidRDefault="00000000" w:rsidRPr="00000000" w14:paraId="00000340">
      <w:pPr>
        <w:jc w:val="both"/>
        <w:rPr/>
      </w:pPr>
      <w:r w:rsidDel="00000000" w:rsidR="00000000" w:rsidRPr="00000000">
        <w:rPr>
          <w:rtl w:val="0"/>
        </w:rPr>
        <w:t xml:space="preserve">Southampton located on a small peninsular in the southern England, was one of the most significant ports in medieval England due to its unique position on the trade route with Mediterranean and Iberian Peninsula. Excavated assemblages from the town have been central to the debates on urbanization process, oversea trading contact, material life, economical subsistence, domestic animal structures and food supply systems. This research focuses on the understanding of animal dietary habits and foddering husbandry, herd management as well as the interact relationship between animal, human and environment as a proxy of political, sociocultural and economic changes on the urbanization development of Southampton through various stable isotopic analysis between 11th- 16th centuries. The paper presents the recent results of isotopic analysis on husbandry practices from early medieval to late medieval period. Carbon and Nitrogen stable isotopic analysis have been performed on over 170 bone samples including domestic animals like cattle sheep pig dog and cat in order to gain a comprehensive understanding of animal husbandry strategies and food consumption patterns by livestock. The isotopic values of wild animals including deer, hare, rabbit are also examined for reconstructing the baseline of local environment. Our results signify that there are distinct strategies for managing different kinds of animals in different period, indicating that there may be different isozones for managing livestock ecologically which are related to local various landscape properties. Interestingly, the cat has a uniform and unique diet containing high level of marine animal protein and the isotopic data of cats in Southampton are similar to those cats in Belgium, whereas are different to those in Poland. A distinctive ecological isotopic pattern from marine fish in North Sea and Baltic seas regions may be inferred as the main reason. With the further oxygen and strontium analysis of dentine and enamel of teeth, the study will shed light on more details on temporal changes in seasonal vertical transhumance, grazing location, environment and probably the trading contacts during the medieval period.</w:t>
      </w:r>
    </w:p>
    <w:p w:rsidR="00000000" w:rsidDel="00000000" w:rsidP="00000000" w:rsidRDefault="00000000" w:rsidRPr="00000000" w14:paraId="00000341">
      <w:pPr>
        <w:jc w:val="both"/>
        <w:rPr>
          <w:i w:val="1"/>
        </w:rPr>
      </w:pPr>
      <w:r w:rsidDel="00000000" w:rsidR="00000000" w:rsidRPr="00000000">
        <w:rPr>
          <w:i w:val="1"/>
          <w:rtl w:val="0"/>
        </w:rPr>
        <w:t xml:space="preserve">Keywords: Southampton, animal, isotope, husbandry.</w:t>
      </w:r>
    </w:p>
    <w:p w:rsidR="00000000" w:rsidDel="00000000" w:rsidP="00000000" w:rsidRDefault="00000000" w:rsidRPr="00000000" w14:paraId="00000342">
      <w:pPr>
        <w:jc w:val="both"/>
        <w:rPr/>
      </w:pPr>
      <w:r w:rsidDel="00000000" w:rsidR="00000000" w:rsidRPr="00000000">
        <w:rPr>
          <w:rtl w:val="0"/>
        </w:rPr>
      </w:r>
    </w:p>
    <w:p w:rsidR="00000000" w:rsidDel="00000000" w:rsidP="00000000" w:rsidRDefault="00000000" w:rsidRPr="00000000" w14:paraId="00000343">
      <w:pPr>
        <w:jc w:val="both"/>
        <w:rPr/>
      </w:pPr>
      <w:r w:rsidDel="00000000" w:rsidR="00000000" w:rsidRPr="00000000">
        <w:rPr>
          <w:rtl w:val="0"/>
        </w:rPr>
      </w:r>
    </w:p>
    <w:p w:rsidR="00000000" w:rsidDel="00000000" w:rsidP="00000000" w:rsidRDefault="00000000" w:rsidRPr="00000000" w14:paraId="00000344">
      <w:pPr>
        <w:jc w:val="both"/>
        <w:rPr>
          <w:b w:val="1"/>
        </w:rPr>
      </w:pPr>
      <w:r w:rsidDel="00000000" w:rsidR="00000000" w:rsidRPr="00000000">
        <w:rPr>
          <w:b w:val="1"/>
          <w:rtl w:val="0"/>
        </w:rPr>
        <w:t xml:space="preserve">Elizabeth R. Arnold1 and Tina Greenfield2</w:t>
      </w:r>
    </w:p>
    <w:p w:rsidR="00000000" w:rsidDel="00000000" w:rsidP="00000000" w:rsidRDefault="00000000" w:rsidRPr="00000000" w14:paraId="00000345">
      <w:pPr>
        <w:jc w:val="both"/>
        <w:rPr>
          <w:sz w:val="20"/>
          <w:szCs w:val="20"/>
        </w:rPr>
      </w:pPr>
      <w:r w:rsidDel="00000000" w:rsidR="00000000" w:rsidRPr="00000000">
        <w:rPr>
          <w:sz w:val="20"/>
          <w:szCs w:val="20"/>
          <w:rtl w:val="0"/>
        </w:rPr>
        <w:t xml:space="preserve">1Grand Valley State University; 2University of Saskatchewan</w:t>
      </w:r>
    </w:p>
    <w:p w:rsidR="00000000" w:rsidDel="00000000" w:rsidP="00000000" w:rsidRDefault="00000000" w:rsidRPr="00000000" w14:paraId="00000346">
      <w:pPr>
        <w:jc w:val="both"/>
        <w:rPr>
          <w:i w:val="1"/>
        </w:rPr>
      </w:pPr>
      <w:r w:rsidDel="00000000" w:rsidR="00000000" w:rsidRPr="00000000">
        <w:rPr>
          <w:rtl w:val="0"/>
        </w:rPr>
      </w:r>
    </w:p>
    <w:p w:rsidR="00000000" w:rsidDel="00000000" w:rsidP="00000000" w:rsidRDefault="00000000" w:rsidRPr="00000000" w14:paraId="00000347">
      <w:pPr>
        <w:jc w:val="both"/>
        <w:rPr>
          <w:i w:val="1"/>
          <w:u w:val="single"/>
        </w:rPr>
      </w:pPr>
      <w:r w:rsidDel="00000000" w:rsidR="00000000" w:rsidRPr="00000000">
        <w:rPr>
          <w:i w:val="1"/>
          <w:u w:val="single"/>
          <w:rtl w:val="0"/>
        </w:rPr>
        <w:t xml:space="preserve">“Ass”essing the role of domestic animals in Ancient Mesopotamia: A bioarchaeological perspective from Abu Salabikh</w:t>
      </w:r>
    </w:p>
    <w:p w:rsidR="00000000" w:rsidDel="00000000" w:rsidP="00000000" w:rsidRDefault="00000000" w:rsidRPr="00000000" w14:paraId="00000348">
      <w:pPr>
        <w:jc w:val="both"/>
        <w:rPr/>
      </w:pPr>
      <w:r w:rsidDel="00000000" w:rsidR="00000000" w:rsidRPr="00000000">
        <w:rPr>
          <w:rtl w:val="0"/>
        </w:rPr>
        <w:t xml:space="preserve">In the 3rd millennium BCE of southern Mesopotamia, equids were key resources with diverse functions that included transport of economic goods, traction necessary for agricultural production, and animals of prestige value. Trade, agriculture, and social status are vital topics to explore within complex societies in the region during the Early Dynastic (c. 2600 BCE). While textual and archaeological data inform on differences in status and access to resources across mature cities. However, inadequate attention has been paid these differences in archaeological studies of urban communities using bioarchaeological data. In this paper, we present preliminary isotopic (carbon, oxygen and strontium), cementum, and proteomics/ZooMs analyses of several domestic species (equid, pig, and ovicaprines) to examine questions of mobility, herd management and production strategies at the Early Dynastic site of Abu Salabikh. Particular attention is given to the equid remains to address questions of both economic and social uses.  Insights from this data will provide further understanding of urban provisioning strategies and social inequality (elite vs. non-elite) at the site during the time of mature cities in southern Mesopotamia.  </w:t>
      </w:r>
    </w:p>
    <w:p w:rsidR="00000000" w:rsidDel="00000000" w:rsidP="00000000" w:rsidRDefault="00000000" w:rsidRPr="00000000" w14:paraId="00000349">
      <w:pPr>
        <w:jc w:val="both"/>
        <w:rPr/>
      </w:pPr>
      <w:r w:rsidDel="00000000" w:rsidR="00000000" w:rsidRPr="00000000">
        <w:rPr>
          <w:rtl w:val="0"/>
        </w:rPr>
      </w:r>
    </w:p>
    <w:p w:rsidR="00000000" w:rsidDel="00000000" w:rsidP="00000000" w:rsidRDefault="00000000" w:rsidRPr="00000000" w14:paraId="0000034A">
      <w:pPr>
        <w:jc w:val="both"/>
        <w:rPr/>
      </w:pPr>
      <w:r w:rsidDel="00000000" w:rsidR="00000000" w:rsidRPr="00000000">
        <w:rPr>
          <w:rtl w:val="0"/>
        </w:rPr>
      </w:r>
    </w:p>
    <w:p w:rsidR="00000000" w:rsidDel="00000000" w:rsidP="00000000" w:rsidRDefault="00000000" w:rsidRPr="00000000" w14:paraId="0000034B">
      <w:pPr>
        <w:jc w:val="both"/>
        <w:rPr>
          <w:b w:val="1"/>
        </w:rPr>
      </w:pPr>
      <w:r w:rsidDel="00000000" w:rsidR="00000000" w:rsidRPr="00000000">
        <w:rPr>
          <w:b w:val="1"/>
          <w:rtl w:val="0"/>
        </w:rPr>
        <w:t xml:space="preserve">Rosalind E. Gillis</w:t>
      </w:r>
      <w:r w:rsidDel="00000000" w:rsidR="00000000" w:rsidRPr="00000000">
        <w:rPr>
          <w:b w:val="1"/>
          <w:vertAlign w:val="superscript"/>
          <w:rtl w:val="0"/>
        </w:rPr>
        <w:t xml:space="preserve">1</w:t>
      </w:r>
      <w:r w:rsidDel="00000000" w:rsidR="00000000" w:rsidRPr="00000000">
        <w:rPr>
          <w:b w:val="1"/>
          <w:rtl w:val="0"/>
        </w:rPr>
        <w:t xml:space="preserve">, Richard Madgwick</w:t>
      </w:r>
      <w:r w:rsidDel="00000000" w:rsidR="00000000" w:rsidRPr="00000000">
        <w:rPr>
          <w:b w:val="1"/>
          <w:vertAlign w:val="superscript"/>
          <w:rtl w:val="0"/>
        </w:rPr>
        <w:t xml:space="preserve">2</w:t>
      </w:r>
      <w:r w:rsidDel="00000000" w:rsidR="00000000" w:rsidRPr="00000000">
        <w:rPr>
          <w:b w:val="1"/>
          <w:rtl w:val="0"/>
        </w:rPr>
        <w:t xml:space="preserve">, Freder Polisica</w:t>
      </w:r>
      <w:r w:rsidDel="00000000" w:rsidR="00000000" w:rsidRPr="00000000">
        <w:rPr>
          <w:b w:val="1"/>
          <w:vertAlign w:val="superscript"/>
          <w:rtl w:val="0"/>
        </w:rPr>
        <w:t xml:space="preserve">3</w:t>
      </w:r>
      <w:r w:rsidDel="00000000" w:rsidR="00000000" w:rsidRPr="00000000">
        <w:rPr>
          <w:b w:val="1"/>
          <w:rtl w:val="0"/>
        </w:rPr>
        <w:t xml:space="preserve">, Marta Dal Corso</w:t>
      </w:r>
      <w:r w:rsidDel="00000000" w:rsidR="00000000" w:rsidRPr="00000000">
        <w:rPr>
          <w:b w:val="1"/>
          <w:vertAlign w:val="superscript"/>
          <w:rtl w:val="0"/>
        </w:rPr>
        <w:t xml:space="preserve">3</w:t>
      </w:r>
      <w:r w:rsidDel="00000000" w:rsidR="00000000" w:rsidRPr="00000000">
        <w:rPr>
          <w:b w:val="1"/>
          <w:rtl w:val="0"/>
        </w:rPr>
        <w:t xml:space="preserve">, Cristiano Nicosia</w:t>
      </w:r>
      <w:r w:rsidDel="00000000" w:rsidR="00000000" w:rsidRPr="00000000">
        <w:rPr>
          <w:b w:val="1"/>
          <w:vertAlign w:val="superscript"/>
          <w:rtl w:val="0"/>
        </w:rPr>
        <w:t xml:space="preserve">3</w:t>
      </w:r>
      <w:r w:rsidDel="00000000" w:rsidR="00000000" w:rsidRPr="00000000">
        <w:rPr>
          <w:rtl w:val="0"/>
        </w:rPr>
      </w:r>
    </w:p>
    <w:p w:rsidR="00000000" w:rsidDel="00000000" w:rsidP="00000000" w:rsidRDefault="00000000" w:rsidRPr="00000000" w14:paraId="0000034C">
      <w:pPr>
        <w:jc w:val="both"/>
        <w:rPr>
          <w:sz w:val="20"/>
          <w:szCs w:val="20"/>
        </w:rPr>
      </w:pPr>
      <w:r w:rsidDel="00000000" w:rsidR="00000000" w:rsidRPr="00000000">
        <w:rPr>
          <w:sz w:val="20"/>
          <w:szCs w:val="20"/>
          <w:vertAlign w:val="superscript"/>
          <w:rtl w:val="0"/>
        </w:rPr>
        <w:t xml:space="preserve">1</w:t>
      </w:r>
      <w:r w:rsidDel="00000000" w:rsidR="00000000" w:rsidRPr="00000000">
        <w:rPr>
          <w:sz w:val="20"/>
          <w:szCs w:val="20"/>
          <w:rtl w:val="0"/>
        </w:rPr>
        <w:t xml:space="preserve">Deutsches Archäologisches Institut, Berlin, Germany</w:t>
      </w:r>
    </w:p>
    <w:p w:rsidR="00000000" w:rsidDel="00000000" w:rsidP="00000000" w:rsidRDefault="00000000" w:rsidRPr="00000000" w14:paraId="0000034D">
      <w:pPr>
        <w:spacing w:line="240" w:lineRule="auto"/>
        <w:jc w:val="both"/>
        <w:rPr>
          <w:color w:val="000000"/>
          <w:sz w:val="20"/>
          <w:szCs w:val="20"/>
        </w:rPr>
      </w:pPr>
      <w:r w:rsidDel="00000000" w:rsidR="00000000" w:rsidRPr="00000000">
        <w:rPr>
          <w:sz w:val="20"/>
          <w:szCs w:val="20"/>
          <w:vertAlign w:val="superscript"/>
          <w:rtl w:val="0"/>
        </w:rPr>
        <w:t xml:space="preserve">2</w:t>
      </w:r>
      <w:r w:rsidDel="00000000" w:rsidR="00000000" w:rsidRPr="00000000">
        <w:rPr>
          <w:color w:val="000000"/>
          <w:sz w:val="20"/>
          <w:szCs w:val="20"/>
          <w:rtl w:val="0"/>
        </w:rPr>
        <w:t xml:space="preserve">Cardiff University, United Kingdom</w:t>
      </w:r>
    </w:p>
    <w:p w:rsidR="00000000" w:rsidDel="00000000" w:rsidP="00000000" w:rsidRDefault="00000000" w:rsidRPr="00000000" w14:paraId="0000034E">
      <w:pPr>
        <w:rPr>
          <w:sz w:val="20"/>
          <w:szCs w:val="20"/>
        </w:rPr>
      </w:pPr>
      <w:r w:rsidDel="00000000" w:rsidR="00000000" w:rsidRPr="00000000">
        <w:rPr>
          <w:sz w:val="20"/>
          <w:szCs w:val="20"/>
          <w:vertAlign w:val="superscript"/>
          <w:rtl w:val="0"/>
        </w:rPr>
        <w:t xml:space="preserve">3</w:t>
      </w:r>
      <w:r w:rsidDel="00000000" w:rsidR="00000000" w:rsidRPr="00000000">
        <w:rPr>
          <w:sz w:val="20"/>
          <w:szCs w:val="20"/>
          <w:rtl w:val="0"/>
        </w:rPr>
        <w:t xml:space="preserve">Department of Geosciences, University of Padova, Italy</w:t>
      </w:r>
    </w:p>
    <w:p w:rsidR="00000000" w:rsidDel="00000000" w:rsidP="00000000" w:rsidRDefault="00000000" w:rsidRPr="00000000" w14:paraId="0000034F">
      <w:pPr>
        <w:jc w:val="both"/>
        <w:rPr/>
      </w:pPr>
      <w:r w:rsidDel="00000000" w:rsidR="00000000" w:rsidRPr="00000000">
        <w:rPr>
          <w:rtl w:val="0"/>
        </w:rPr>
      </w:r>
    </w:p>
    <w:p w:rsidR="00000000" w:rsidDel="00000000" w:rsidP="00000000" w:rsidRDefault="00000000" w:rsidRPr="00000000" w14:paraId="00000350">
      <w:pPr>
        <w:jc w:val="both"/>
        <w:rPr>
          <w:i w:val="1"/>
          <w:u w:val="single"/>
        </w:rPr>
      </w:pPr>
      <w:r w:rsidDel="00000000" w:rsidR="00000000" w:rsidRPr="00000000">
        <w:rPr>
          <w:i w:val="1"/>
          <w:u w:val="single"/>
          <w:rtl w:val="0"/>
        </w:rPr>
        <w:t xml:space="preserve">Bronze Age herding in Northern Italy, a case study of Oppeano multi-proxy isotope approach</w:t>
      </w:r>
    </w:p>
    <w:p w:rsidR="00000000" w:rsidDel="00000000" w:rsidP="00000000" w:rsidRDefault="00000000" w:rsidRPr="00000000" w14:paraId="00000351">
      <w:pPr>
        <w:jc w:val="both"/>
        <w:rPr/>
      </w:pPr>
      <w:r w:rsidDel="00000000" w:rsidR="00000000" w:rsidRPr="00000000">
        <w:rPr>
          <w:rtl w:val="0"/>
        </w:rPr>
        <w:t xml:space="preserve">Traditionally the Italian Bronze Age is characterized by the development of transhumance practices. This perspective underpins much of the global understanding of these communities. However, direct evidence for this practice is scant. Here we explore animal husbandry practice namely foddering practices of a middle Bronze village community at the well-preserved site at Oppeano. We sequentially analysed second and third sheep (</w:t>
      </w:r>
      <w:r w:rsidDel="00000000" w:rsidR="00000000" w:rsidRPr="00000000">
        <w:rPr>
          <w:i w:val="1"/>
          <w:rtl w:val="0"/>
        </w:rPr>
        <w:t xml:space="preserve">Ovis aries</w:t>
      </w:r>
      <w:r w:rsidDel="00000000" w:rsidR="00000000" w:rsidRPr="00000000">
        <w:rPr>
          <w:rtl w:val="0"/>
        </w:rPr>
        <w:t xml:space="preserve">) molars for Oxygen, Carbon and strontium isotopes from 5 individuals. Although a small sample, it represents that largest stable isotope sample of its kind for a single phase. The results provide an insight into seasonal pasturing activities and help deepen our understanding of Bronze Age communities and their herds. </w:t>
      </w:r>
    </w:p>
    <w:p w:rsidR="00000000" w:rsidDel="00000000" w:rsidP="00000000" w:rsidRDefault="00000000" w:rsidRPr="00000000" w14:paraId="00000352">
      <w:pPr>
        <w:jc w:val="both"/>
        <w:rPr/>
      </w:pPr>
      <w:r w:rsidDel="00000000" w:rsidR="00000000" w:rsidRPr="00000000">
        <w:rPr>
          <w:rtl w:val="0"/>
        </w:rPr>
        <w:t xml:space="preserve">Key words: Pasture/Fodder, Sequential analysis, Strontium, Oxygen, Carbon, sheep (Ovis aries).</w:t>
      </w:r>
    </w:p>
    <w:p w:rsidR="00000000" w:rsidDel="00000000" w:rsidP="00000000" w:rsidRDefault="00000000" w:rsidRPr="00000000" w14:paraId="00000353">
      <w:pPr>
        <w:jc w:val="both"/>
        <w:rPr/>
      </w:pPr>
      <w:r w:rsidDel="00000000" w:rsidR="00000000" w:rsidRPr="00000000">
        <w:rPr>
          <w:rtl w:val="0"/>
        </w:rPr>
      </w:r>
    </w:p>
    <w:p w:rsidR="00000000" w:rsidDel="00000000" w:rsidP="00000000" w:rsidRDefault="00000000" w:rsidRPr="00000000" w14:paraId="00000354">
      <w:pPr>
        <w:jc w:val="both"/>
        <w:rPr/>
      </w:pPr>
      <w:r w:rsidDel="00000000" w:rsidR="00000000" w:rsidRPr="00000000">
        <w:rPr>
          <w:rtl w:val="0"/>
        </w:rPr>
      </w:r>
    </w:p>
    <w:p w:rsidR="00000000" w:rsidDel="00000000" w:rsidP="00000000" w:rsidRDefault="00000000" w:rsidRPr="00000000" w14:paraId="00000355">
      <w:pPr>
        <w:jc w:val="both"/>
        <w:rPr>
          <w:b w:val="1"/>
        </w:rPr>
      </w:pPr>
      <w:r w:rsidDel="00000000" w:rsidR="00000000" w:rsidRPr="00000000">
        <w:rPr>
          <w:rtl w:val="0"/>
        </w:rPr>
      </w:r>
    </w:p>
    <w:p w:rsidR="00000000" w:rsidDel="00000000" w:rsidP="00000000" w:rsidRDefault="00000000" w:rsidRPr="00000000" w14:paraId="00000356">
      <w:pPr>
        <w:jc w:val="both"/>
        <w:rPr>
          <w:b w:val="1"/>
          <w:vertAlign w:val="superscript"/>
        </w:rPr>
      </w:pPr>
      <w:r w:rsidDel="00000000" w:rsidR="00000000" w:rsidRPr="00000000">
        <w:rPr>
          <w:b w:val="1"/>
          <w:rtl w:val="0"/>
        </w:rPr>
        <w:t xml:space="preserve">Theodore West</w:t>
      </w:r>
      <w:r w:rsidDel="00000000" w:rsidR="00000000" w:rsidRPr="00000000">
        <w:rPr>
          <w:b w:val="1"/>
          <w:vertAlign w:val="superscript"/>
          <w:rtl w:val="0"/>
        </w:rPr>
        <w:t xml:space="preserve">1</w:t>
      </w:r>
      <w:r w:rsidDel="00000000" w:rsidR="00000000" w:rsidRPr="00000000">
        <w:rPr>
          <w:b w:val="1"/>
          <w:rtl w:val="0"/>
        </w:rPr>
        <w:t xml:space="preserve">, Elise Dufour</w:t>
      </w:r>
      <w:r w:rsidDel="00000000" w:rsidR="00000000" w:rsidRPr="00000000">
        <w:rPr>
          <w:b w:val="1"/>
          <w:vertAlign w:val="superscript"/>
          <w:rtl w:val="0"/>
        </w:rPr>
        <w:t xml:space="preserve">2</w:t>
      </w:r>
      <w:r w:rsidDel="00000000" w:rsidR="00000000" w:rsidRPr="00000000">
        <w:rPr>
          <w:b w:val="1"/>
          <w:rtl w:val="0"/>
        </w:rPr>
        <w:t xml:space="preserve">, Brice Ephrem</w:t>
      </w:r>
      <w:r w:rsidDel="00000000" w:rsidR="00000000" w:rsidRPr="00000000">
        <w:rPr>
          <w:b w:val="1"/>
          <w:vertAlign w:val="superscript"/>
          <w:rtl w:val="0"/>
        </w:rPr>
        <w:t xml:space="preserve">3</w:t>
      </w:r>
      <w:r w:rsidDel="00000000" w:rsidR="00000000" w:rsidRPr="00000000">
        <w:rPr>
          <w:b w:val="1"/>
          <w:rtl w:val="0"/>
        </w:rPr>
        <w:t xml:space="preserve">, Benoît Clavel</w:t>
      </w:r>
      <w:r w:rsidDel="00000000" w:rsidR="00000000" w:rsidRPr="00000000">
        <w:rPr>
          <w:b w:val="1"/>
          <w:vertAlign w:val="superscript"/>
          <w:rtl w:val="0"/>
        </w:rPr>
        <w:t xml:space="preserve">2</w:t>
      </w:r>
      <w:r w:rsidDel="00000000" w:rsidR="00000000" w:rsidRPr="00000000">
        <w:rPr>
          <w:b w:val="1"/>
          <w:rtl w:val="0"/>
        </w:rPr>
        <w:t xml:space="preserve">, Isabelle Pianet</w:t>
      </w:r>
      <w:r w:rsidDel="00000000" w:rsidR="00000000" w:rsidRPr="00000000">
        <w:rPr>
          <w:b w:val="1"/>
          <w:vertAlign w:val="superscript"/>
          <w:rtl w:val="0"/>
        </w:rPr>
        <w:t xml:space="preserve">1</w:t>
      </w:r>
    </w:p>
    <w:p w:rsidR="00000000" w:rsidDel="00000000" w:rsidP="00000000" w:rsidRDefault="00000000" w:rsidRPr="00000000" w14:paraId="000003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Archéosciences Bordeaux, UMR 6034, Université Bordeaux Montaigne, Bordeaux, France</w:t>
      </w:r>
    </w:p>
    <w:p w:rsidR="00000000" w:rsidDel="00000000" w:rsidP="00000000" w:rsidRDefault="00000000" w:rsidRPr="00000000" w14:paraId="000003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2</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AASPE, UMR 7209, Muséum National d’Histoire Naturelle, Paris, France</w:t>
      </w:r>
    </w:p>
    <w:p w:rsidR="00000000" w:rsidDel="00000000" w:rsidP="00000000" w:rsidRDefault="00000000" w:rsidRPr="00000000" w14:paraId="000003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3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CReAHH, UMR 6566, Université Rennes 1, Rennes, France</w:t>
      </w:r>
    </w:p>
    <w:p w:rsidR="00000000" w:rsidDel="00000000" w:rsidP="00000000" w:rsidRDefault="00000000" w:rsidRPr="00000000" w14:paraId="0000035A">
      <w:pPr>
        <w:rPr/>
      </w:pPr>
      <w:r w:rsidDel="00000000" w:rsidR="00000000" w:rsidRPr="00000000">
        <w:rPr>
          <w:rtl w:val="0"/>
        </w:rPr>
      </w:r>
    </w:p>
    <w:p w:rsidR="00000000" w:rsidDel="00000000" w:rsidP="00000000" w:rsidRDefault="00000000" w:rsidRPr="00000000" w14:paraId="0000035B">
      <w:pPr>
        <w:rPr>
          <w:i w:val="1"/>
          <w:u w:val="single"/>
        </w:rPr>
      </w:pPr>
      <w:r w:rsidDel="00000000" w:rsidR="00000000" w:rsidRPr="00000000">
        <w:rPr>
          <w:i w:val="1"/>
          <w:u w:val="single"/>
          <w:rtl w:val="0"/>
        </w:rPr>
        <w:t xml:space="preserve">Fishing and fish trade during the Roman era in southwestern France: an isotopic approach</w:t>
      </w:r>
    </w:p>
    <w:p w:rsidR="00000000" w:rsidDel="00000000" w:rsidP="00000000" w:rsidRDefault="00000000" w:rsidRPr="00000000" w14:paraId="0000035C">
      <w:pPr>
        <w:jc w:val="both"/>
        <w:rPr/>
      </w:pPr>
      <w:r w:rsidDel="00000000" w:rsidR="00000000" w:rsidRPr="00000000">
        <w:rPr>
          <w:rtl w:val="0"/>
        </w:rPr>
        <w:t xml:space="preserve">Fishing activities and fish trade underwent major changes in Western Europe during the Roman era. Historical sources, archaeological remains, and archaeo-ichthyology provide evidence of the long-distance trade of fish for the first time from the 1st century AD.</w:t>
      </w:r>
    </w:p>
    <w:p w:rsidR="00000000" w:rsidDel="00000000" w:rsidP="00000000" w:rsidRDefault="00000000" w:rsidRPr="00000000" w14:paraId="0000035D">
      <w:pPr>
        <w:jc w:val="both"/>
        <w:rPr/>
      </w:pPr>
      <w:r w:rsidDel="00000000" w:rsidR="00000000" w:rsidRPr="00000000">
        <w:rPr>
          <w:rtl w:val="0"/>
        </w:rPr>
        <w:t xml:space="preserve">However, these sources cannot provide evidence to document with precision the different fishing grounds that were exploited. Historical and archaeological records are often too sparse to provide robust evidence. Archaeo-ichthyology provides hypotheses based on the comparison of the ichtyofauna and species-specific biological requirements. Unfortunately, because of the widespread nature of many species, these hypotheses frequently are unable to go any further than the identification of the trade of marine fish inland. </w:t>
      </w:r>
    </w:p>
    <w:p w:rsidR="00000000" w:rsidDel="00000000" w:rsidP="00000000" w:rsidRDefault="00000000" w:rsidRPr="00000000" w14:paraId="0000035E">
      <w:pPr>
        <w:jc w:val="both"/>
        <w:rPr/>
      </w:pPr>
      <w:r w:rsidDel="00000000" w:rsidR="00000000" w:rsidRPr="00000000">
        <w:rPr>
          <w:rtl w:val="0"/>
        </w:rPr>
        <w:t xml:space="preserve">The development of stable isotope analysis (SIA) of collagen in archaeological remains has somewhat overcome this limitation. Due to the relationship between fish stable isotope compositions and their environments, it is possible to identify the fishing grounds with greater precision.</w:t>
      </w:r>
    </w:p>
    <w:p w:rsidR="00000000" w:rsidDel="00000000" w:rsidP="00000000" w:rsidRDefault="00000000" w:rsidRPr="00000000" w14:paraId="0000035F">
      <w:pPr>
        <w:jc w:val="both"/>
        <w:rPr/>
      </w:pPr>
      <w:r w:rsidDel="00000000" w:rsidR="00000000" w:rsidRPr="00000000">
        <w:rPr>
          <w:rtl w:val="0"/>
        </w:rPr>
        <w:t xml:space="preserve">The aim of this study is to use SIA of bone collagen to identify marine fishing areas in southwestern France during Roman times. It is first necessary to establish environmental baselines. For this reason, our corpus includes individuals from both coastal sites to document environmental variability and inland sites to understand the trade routes that may have been favoured in Aquitaine during Antiquity.</w:t>
      </w:r>
    </w:p>
    <w:p w:rsidR="00000000" w:rsidDel="00000000" w:rsidP="00000000" w:rsidRDefault="00000000" w:rsidRPr="00000000" w14:paraId="00000360">
      <w:pPr>
        <w:jc w:val="both"/>
        <w:rPr/>
      </w:pPr>
      <w:r w:rsidDel="00000000" w:rsidR="00000000" w:rsidRPr="00000000">
        <w:rPr>
          <w:rtl w:val="0"/>
        </w:rPr>
      </w:r>
    </w:p>
    <w:p w:rsidR="00000000" w:rsidDel="00000000" w:rsidP="00000000" w:rsidRDefault="00000000" w:rsidRPr="00000000" w14:paraId="00000361">
      <w:pPr>
        <w:jc w:val="both"/>
        <w:rPr/>
      </w:pPr>
      <w:r w:rsidDel="00000000" w:rsidR="00000000" w:rsidRPr="00000000">
        <w:rPr>
          <w:rtl w:val="0"/>
        </w:rPr>
      </w:r>
    </w:p>
    <w:p w:rsidR="00000000" w:rsidDel="00000000" w:rsidP="00000000" w:rsidRDefault="00000000" w:rsidRPr="00000000" w14:paraId="00000362">
      <w:pPr>
        <w:jc w:val="both"/>
        <w:rPr>
          <w:b w:val="1"/>
        </w:rPr>
      </w:pPr>
      <w:r w:rsidDel="00000000" w:rsidR="00000000" w:rsidRPr="00000000">
        <w:rPr>
          <w:b w:val="1"/>
          <w:rtl w:val="0"/>
        </w:rPr>
        <w:t xml:space="preserve">Vanessa Navarrete1, João Luís Cardoso2, Cleia Detry3</w:t>
      </w:r>
    </w:p>
    <w:p w:rsidR="00000000" w:rsidDel="00000000" w:rsidP="00000000" w:rsidRDefault="00000000" w:rsidRPr="00000000" w14:paraId="00000363">
      <w:pPr>
        <w:jc w:val="both"/>
        <w:rPr>
          <w:sz w:val="20"/>
          <w:szCs w:val="20"/>
        </w:rPr>
      </w:pPr>
      <w:r w:rsidDel="00000000" w:rsidR="00000000" w:rsidRPr="00000000">
        <w:rPr>
          <w:sz w:val="20"/>
          <w:szCs w:val="20"/>
          <w:rtl w:val="0"/>
        </w:rPr>
        <w:t xml:space="preserve">1HERCULES Lab. Universidade de Évora, Portugal</w:t>
      </w:r>
    </w:p>
    <w:p w:rsidR="00000000" w:rsidDel="00000000" w:rsidP="00000000" w:rsidRDefault="00000000" w:rsidRPr="00000000" w14:paraId="00000364">
      <w:pPr>
        <w:jc w:val="both"/>
        <w:rPr>
          <w:sz w:val="20"/>
          <w:szCs w:val="20"/>
        </w:rPr>
      </w:pPr>
      <w:r w:rsidDel="00000000" w:rsidR="00000000" w:rsidRPr="00000000">
        <w:rPr>
          <w:sz w:val="20"/>
          <w:szCs w:val="20"/>
          <w:rtl w:val="0"/>
        </w:rPr>
        <w:t xml:space="preserve">2Universidade Aberta (Lisboa). Centro de Estudos Arqueológicos do Concelho de Oeiras (Câmara Municipal de Oeiras). ICArEHB (Universidade do Algarve, Portugal)</w:t>
      </w:r>
    </w:p>
    <w:p w:rsidR="00000000" w:rsidDel="00000000" w:rsidP="00000000" w:rsidRDefault="00000000" w:rsidRPr="00000000" w14:paraId="00000365">
      <w:pPr>
        <w:jc w:val="both"/>
        <w:rPr>
          <w:sz w:val="20"/>
          <w:szCs w:val="20"/>
        </w:rPr>
      </w:pPr>
      <w:r w:rsidDel="00000000" w:rsidR="00000000" w:rsidRPr="00000000">
        <w:rPr>
          <w:sz w:val="20"/>
          <w:szCs w:val="20"/>
          <w:rtl w:val="0"/>
        </w:rPr>
        <w:t xml:space="preserve">3UNIARQ-Centro de Arqueologia da Universidade de Lisboa (Portugal)</w:t>
      </w:r>
    </w:p>
    <w:p w:rsidR="00000000" w:rsidDel="00000000" w:rsidP="00000000" w:rsidRDefault="00000000" w:rsidRPr="00000000" w14:paraId="00000366">
      <w:pPr>
        <w:jc w:val="both"/>
        <w:rPr>
          <w:b w:val="1"/>
        </w:rPr>
      </w:pPr>
      <w:r w:rsidDel="00000000" w:rsidR="00000000" w:rsidRPr="00000000">
        <w:rPr>
          <w:rtl w:val="0"/>
        </w:rPr>
      </w:r>
    </w:p>
    <w:p w:rsidR="00000000" w:rsidDel="00000000" w:rsidP="00000000" w:rsidRDefault="00000000" w:rsidRPr="00000000" w14:paraId="00000367">
      <w:pPr>
        <w:jc w:val="both"/>
        <w:rPr>
          <w:i w:val="1"/>
          <w:u w:val="single"/>
        </w:rPr>
      </w:pPr>
      <w:r w:rsidDel="00000000" w:rsidR="00000000" w:rsidRPr="00000000">
        <w:rPr>
          <w:i w:val="1"/>
          <w:u w:val="single"/>
          <w:rtl w:val="0"/>
        </w:rPr>
        <w:t xml:space="preserve">Animal management practicas in the western Iberia Peninsula during the Neolithic-Chalcolithic transition: the study case of Leceia</w:t>
      </w:r>
    </w:p>
    <w:p w:rsidR="00000000" w:rsidDel="00000000" w:rsidP="00000000" w:rsidRDefault="00000000" w:rsidRPr="00000000" w14:paraId="00000368">
      <w:pPr>
        <w:jc w:val="both"/>
        <w:rPr/>
      </w:pPr>
      <w:r w:rsidDel="00000000" w:rsidR="00000000" w:rsidRPr="00000000">
        <w:rPr>
          <w:rtl w:val="0"/>
        </w:rPr>
        <w:t xml:space="preserve">The socio-economic relevance of domesticated animals during the Neolithic-Chalcolithic transition in the western Iberian Peninsula is indisputable, yet we essentially know little about the way they were managed. The domesticated animals, pig (Sus domesticus), sheep (Ovis aries), goat (Capra hircus) and cattle (Bos taurus) were a common food source, and previous studies have shown the potential of stable isotopes for assessing variability in the animal diet in relation to husbandry practices. In this work, we present the first results of the analysis of δ13C/δ15N isotopes in bulk collagen at the settlement of Leceia (Oeiras, Portugal). The principal aim is to establish the degree of human control over the management and animal diet of domesticates and characterize different herding systems during the Neolithic-Chalcolithic transition in the western Iberia Peninsula, specifically in the Leceia site. In order to tackle the objectives effectively, a combination of zooarchaeology and stable isotopes is proposed. The results offer new insights into the success of different herding systems during the Prehistory of domesticates in the Iberian Peninsula. In addition, provide relevant information for the interpretation of variability regarding human control over animal diet during the Neolithic and Chalcolithic transition in the western Iberia Peninsula.</w:t>
      </w:r>
    </w:p>
    <w:p w:rsidR="00000000" w:rsidDel="00000000" w:rsidP="00000000" w:rsidRDefault="00000000" w:rsidRPr="00000000" w14:paraId="00000369">
      <w:pPr>
        <w:jc w:val="both"/>
        <w:rPr>
          <w:i w:val="1"/>
        </w:rPr>
      </w:pPr>
      <w:r w:rsidDel="00000000" w:rsidR="00000000" w:rsidRPr="00000000">
        <w:rPr>
          <w:i w:val="1"/>
          <w:rtl w:val="0"/>
        </w:rPr>
        <w:t xml:space="preserve">Keywords: Husbandry practices, Carbon and Nitrogen isotopes, Bulk collagen, Domesticates, Holocene.</w:t>
      </w:r>
    </w:p>
    <w:p w:rsidR="00000000" w:rsidDel="00000000" w:rsidP="00000000" w:rsidRDefault="00000000" w:rsidRPr="00000000" w14:paraId="0000036A">
      <w:pPr>
        <w:jc w:val="both"/>
        <w:rPr>
          <w:b w:val="1"/>
        </w:rPr>
      </w:pPr>
      <w:r w:rsidDel="00000000" w:rsidR="00000000" w:rsidRPr="00000000">
        <w:rPr>
          <w:rtl w:val="0"/>
        </w:rPr>
      </w:r>
    </w:p>
    <w:p w:rsidR="00000000" w:rsidDel="00000000" w:rsidP="00000000" w:rsidRDefault="00000000" w:rsidRPr="00000000" w14:paraId="0000036B">
      <w:pPr>
        <w:jc w:val="both"/>
        <w:rPr/>
      </w:pPr>
      <w:r w:rsidDel="00000000" w:rsidR="00000000" w:rsidRPr="00000000">
        <w:rPr>
          <w:rtl w:val="0"/>
        </w:rPr>
      </w:r>
    </w:p>
    <w:p w:rsidR="00000000" w:rsidDel="00000000" w:rsidP="00000000" w:rsidRDefault="00000000" w:rsidRPr="00000000" w14:paraId="0000036C">
      <w:pPr>
        <w:jc w:val="both"/>
        <w:rPr>
          <w:b w:val="1"/>
        </w:rPr>
      </w:pPr>
      <w:r w:rsidDel="00000000" w:rsidR="00000000" w:rsidRPr="00000000">
        <w:rPr>
          <w:b w:val="1"/>
          <w:rtl w:val="0"/>
        </w:rPr>
        <w:t xml:space="preserve">Rana Özbal, Stephanie Emra, Safoora Kamjan, Eylem Özdoğan, Norbert Benecke</w:t>
      </w:r>
    </w:p>
    <w:p w:rsidR="00000000" w:rsidDel="00000000" w:rsidP="00000000" w:rsidRDefault="00000000" w:rsidRPr="00000000" w14:paraId="0000036D">
      <w:pPr>
        <w:jc w:val="both"/>
        <w:rPr>
          <w:sz w:val="20"/>
          <w:szCs w:val="20"/>
        </w:rPr>
      </w:pPr>
      <w:r w:rsidDel="00000000" w:rsidR="00000000" w:rsidRPr="00000000">
        <w:rPr>
          <w:sz w:val="20"/>
          <w:szCs w:val="20"/>
          <w:rtl w:val="0"/>
        </w:rPr>
        <w:t xml:space="preserve">1Koç University, Istanbul, Turkey</w:t>
      </w:r>
    </w:p>
    <w:p w:rsidR="00000000" w:rsidDel="00000000" w:rsidP="00000000" w:rsidRDefault="00000000" w:rsidRPr="00000000" w14:paraId="0000036E">
      <w:pPr>
        <w:jc w:val="both"/>
        <w:rPr>
          <w:sz w:val="20"/>
          <w:szCs w:val="20"/>
        </w:rPr>
      </w:pPr>
      <w:r w:rsidDel="00000000" w:rsidR="00000000" w:rsidRPr="00000000">
        <w:rPr>
          <w:sz w:val="20"/>
          <w:szCs w:val="20"/>
          <w:rtl w:val="0"/>
        </w:rPr>
        <w:t xml:space="preserve">2Ludwig-Maximilians University, Munich, Germany</w:t>
      </w:r>
    </w:p>
    <w:p w:rsidR="00000000" w:rsidDel="00000000" w:rsidP="00000000" w:rsidRDefault="00000000" w:rsidRPr="00000000" w14:paraId="0000036F">
      <w:pPr>
        <w:jc w:val="both"/>
        <w:rPr>
          <w:sz w:val="20"/>
          <w:szCs w:val="20"/>
        </w:rPr>
      </w:pPr>
      <w:r w:rsidDel="00000000" w:rsidR="00000000" w:rsidRPr="00000000">
        <w:rPr>
          <w:sz w:val="20"/>
          <w:szCs w:val="20"/>
          <w:rtl w:val="0"/>
        </w:rPr>
        <w:t xml:space="preserve">3University of Groningen, The Netherlands</w:t>
      </w:r>
    </w:p>
    <w:p w:rsidR="00000000" w:rsidDel="00000000" w:rsidP="00000000" w:rsidRDefault="00000000" w:rsidRPr="00000000" w14:paraId="00000370">
      <w:pPr>
        <w:jc w:val="both"/>
        <w:rPr>
          <w:i w:val="1"/>
        </w:rPr>
      </w:pPr>
      <w:r w:rsidDel="00000000" w:rsidR="00000000" w:rsidRPr="00000000">
        <w:rPr>
          <w:rtl w:val="0"/>
        </w:rPr>
      </w:r>
    </w:p>
    <w:p w:rsidR="00000000" w:rsidDel="00000000" w:rsidP="00000000" w:rsidRDefault="00000000" w:rsidRPr="00000000" w14:paraId="00000371">
      <w:pPr>
        <w:jc w:val="both"/>
        <w:rPr>
          <w:b w:val="1"/>
          <w:i w:val="1"/>
          <w:u w:val="single"/>
        </w:rPr>
      </w:pPr>
      <w:r w:rsidDel="00000000" w:rsidR="00000000" w:rsidRPr="00000000">
        <w:rPr>
          <w:i w:val="1"/>
          <w:u w:val="single"/>
          <w:rtl w:val="0"/>
        </w:rPr>
        <w:t xml:space="preserve">Stable carbon and nitrogen isotope results for faunal samples from Aşaği Pinar</w:t>
      </w:r>
      <w:r w:rsidDel="00000000" w:rsidR="00000000" w:rsidRPr="00000000">
        <w:rPr>
          <w:rtl w:val="0"/>
        </w:rPr>
      </w:r>
    </w:p>
    <w:p w:rsidR="00000000" w:rsidDel="00000000" w:rsidP="00000000" w:rsidRDefault="00000000" w:rsidRPr="00000000" w14:paraId="00000372">
      <w:pPr>
        <w:jc w:val="both"/>
        <w:rPr/>
      </w:pPr>
      <w:r w:rsidDel="00000000" w:rsidR="00000000" w:rsidRPr="00000000">
        <w:rPr>
          <w:rtl w:val="0"/>
        </w:rPr>
        <w:t xml:space="preserve">The site of Aşağı Pınar, located in Turkish Thrace, close to the Bulgarian border, dates to the Anatolian Late Neolithic and Chalcolithic Periods. The settlement is important because of the insights it provides on prehistoric connections between the Balkans and Anatolia. A pilot-study of 22 faunal bone collagen samples, mostly dating to the late seventh and early sixth millennium were subjected to stable carbon (δ13C) and nitrogen (δ15N) analyses. In addition, two human collagen samples were selected and analyzed to act as a comparison. The analyses were conducted as part of a growing effort to establish facilities specialized in stable isotopes in Turkey, given the increasing restrictions by the Turkish Ministry of Culture and Tourism regarding sample exportation. Within this context, the Aşağı Pınar dataset provided the first faunal case-study extracted at Koç University and then analyzed at the National TENMAK Facility in Ankara. The Aşağı Pınar samples provide an ideal dataset for the purposes of this pilot study as the assemblage includes a wide range of species yielding a relatively broad isotopic span. Aside from domesticated animals such as caprines, cattle and pig, the stable isotope dataset contains samples of fox, wolf, deer, bird and bear. The results inform on the varied animal management strategies and enable insights into the local paleoenvironment.</w:t>
      </w:r>
    </w:p>
    <w:p w:rsidR="00000000" w:rsidDel="00000000" w:rsidP="00000000" w:rsidRDefault="00000000" w:rsidRPr="00000000" w14:paraId="00000373">
      <w:pPr>
        <w:jc w:val="both"/>
        <w:rPr>
          <w:i w:val="1"/>
        </w:rPr>
      </w:pPr>
      <w:r w:rsidDel="00000000" w:rsidR="00000000" w:rsidRPr="00000000">
        <w:rPr>
          <w:i w:val="1"/>
          <w:rtl w:val="0"/>
        </w:rPr>
        <w:t xml:space="preserve">Keywords: Stable Isotopes, Neolithic, Domestication, δ13C, δ15N.</w:t>
      </w:r>
    </w:p>
    <w:p w:rsidR="00000000" w:rsidDel="00000000" w:rsidP="00000000" w:rsidRDefault="00000000" w:rsidRPr="00000000" w14:paraId="00000374">
      <w:pPr>
        <w:jc w:val="both"/>
        <w:rPr/>
      </w:pPr>
      <w:r w:rsidDel="00000000" w:rsidR="00000000" w:rsidRPr="00000000">
        <w:rPr>
          <w:rtl w:val="0"/>
        </w:rPr>
      </w:r>
    </w:p>
    <w:p w:rsidR="00000000" w:rsidDel="00000000" w:rsidP="00000000" w:rsidRDefault="00000000" w:rsidRPr="00000000" w14:paraId="00000375">
      <w:pPr>
        <w:jc w:val="both"/>
        <w:rPr/>
      </w:pPr>
      <w:r w:rsidDel="00000000" w:rsidR="00000000" w:rsidRPr="00000000">
        <w:rPr>
          <w:rtl w:val="0"/>
        </w:rPr>
      </w:r>
    </w:p>
    <w:p w:rsidR="00000000" w:rsidDel="00000000" w:rsidP="00000000" w:rsidRDefault="00000000" w:rsidRPr="00000000" w14:paraId="00000376">
      <w:pPr>
        <w:spacing w:after="160" w:line="240" w:lineRule="auto"/>
        <w:jc w:val="both"/>
        <w:rPr>
          <w:b w:val="1"/>
          <w:vertAlign w:val="superscript"/>
        </w:rPr>
      </w:pPr>
      <w:r w:rsidDel="00000000" w:rsidR="00000000" w:rsidRPr="00000000">
        <w:rPr>
          <w:b w:val="1"/>
          <w:rtl w:val="0"/>
        </w:rPr>
        <w:t xml:space="preserve">Delphine Fremondeau</w:t>
      </w:r>
      <w:r w:rsidDel="00000000" w:rsidR="00000000" w:rsidRPr="00000000">
        <w:rPr>
          <w:b w:val="1"/>
          <w:vertAlign w:val="superscript"/>
          <w:rtl w:val="0"/>
        </w:rPr>
        <w:t xml:space="preserve">1,2</w:t>
      </w:r>
      <w:r w:rsidDel="00000000" w:rsidR="00000000" w:rsidRPr="00000000">
        <w:rPr>
          <w:b w:val="1"/>
          <w:rtl w:val="0"/>
        </w:rPr>
        <w:t xml:space="preserve">, Bea De Cupere</w:t>
      </w:r>
      <w:r w:rsidDel="00000000" w:rsidR="00000000" w:rsidRPr="00000000">
        <w:rPr>
          <w:b w:val="1"/>
          <w:vertAlign w:val="superscript"/>
          <w:rtl w:val="0"/>
        </w:rPr>
        <w:t xml:space="preserve">3</w:t>
      </w:r>
      <w:r w:rsidDel="00000000" w:rsidR="00000000" w:rsidRPr="00000000">
        <w:rPr>
          <w:b w:val="1"/>
          <w:rtl w:val="0"/>
        </w:rPr>
        <w:t xml:space="preserve">, Wim Van Neer</w:t>
      </w:r>
      <w:r w:rsidDel="00000000" w:rsidR="00000000" w:rsidRPr="00000000">
        <w:rPr>
          <w:b w:val="1"/>
          <w:vertAlign w:val="superscript"/>
          <w:rtl w:val="0"/>
        </w:rPr>
        <w:t xml:space="preserve">1,3</w:t>
      </w:r>
      <w:r w:rsidDel="00000000" w:rsidR="00000000" w:rsidRPr="00000000">
        <w:rPr>
          <w:b w:val="1"/>
          <w:rtl w:val="0"/>
        </w:rPr>
        <w:t xml:space="preserve">, Rhiannon Stevens</w:t>
      </w:r>
      <w:r w:rsidDel="00000000" w:rsidR="00000000" w:rsidRPr="00000000">
        <w:rPr>
          <w:b w:val="1"/>
          <w:vertAlign w:val="superscript"/>
          <w:rtl w:val="0"/>
        </w:rPr>
        <w:t xml:space="preserve">2</w:t>
      </w:r>
    </w:p>
    <w:p w:rsidR="00000000" w:rsidDel="00000000" w:rsidP="00000000" w:rsidRDefault="00000000" w:rsidRPr="00000000" w14:paraId="00000377">
      <w:pPr>
        <w:spacing w:after="160" w:line="240" w:lineRule="auto"/>
        <w:jc w:val="both"/>
        <w:rPr>
          <w:sz w:val="20"/>
          <w:szCs w:val="20"/>
        </w:rPr>
      </w:pPr>
      <w:r w:rsidDel="00000000" w:rsidR="00000000" w:rsidRPr="00000000">
        <w:rPr>
          <w:sz w:val="20"/>
          <w:szCs w:val="20"/>
          <w:vertAlign w:val="superscript"/>
          <w:rtl w:val="0"/>
        </w:rPr>
        <w:t xml:space="preserve">1</w:t>
      </w:r>
      <w:r w:rsidDel="00000000" w:rsidR="00000000" w:rsidRPr="00000000">
        <w:rPr>
          <w:sz w:val="20"/>
          <w:szCs w:val="20"/>
          <w:rtl w:val="0"/>
        </w:rPr>
        <w:t xml:space="preserve"> Centre for Archaeological Sciences, University of Leuven, Celestijnenlaan 200E, 3000, Leuven, Belgium</w:t>
      </w:r>
    </w:p>
    <w:p w:rsidR="00000000" w:rsidDel="00000000" w:rsidP="00000000" w:rsidRDefault="00000000" w:rsidRPr="00000000" w14:paraId="00000378">
      <w:pPr>
        <w:spacing w:after="160" w:line="240" w:lineRule="auto"/>
        <w:jc w:val="both"/>
        <w:rPr>
          <w:sz w:val="20"/>
          <w:szCs w:val="20"/>
        </w:rPr>
      </w:pPr>
      <w:r w:rsidDel="00000000" w:rsidR="00000000" w:rsidRPr="00000000">
        <w:rPr>
          <w:sz w:val="20"/>
          <w:szCs w:val="20"/>
          <w:vertAlign w:val="superscript"/>
          <w:rtl w:val="0"/>
        </w:rPr>
        <w:t xml:space="preserve">2</w:t>
      </w:r>
      <w:r w:rsidDel="00000000" w:rsidR="00000000" w:rsidRPr="00000000">
        <w:rPr>
          <w:sz w:val="20"/>
          <w:szCs w:val="20"/>
          <w:rtl w:val="0"/>
        </w:rPr>
        <w:t xml:space="preserve"> UCL Institute of Archaeology, 31-34 Gordon Square, WC1H 0PY London, UK</w:t>
      </w:r>
    </w:p>
    <w:p w:rsidR="00000000" w:rsidDel="00000000" w:rsidP="00000000" w:rsidRDefault="00000000" w:rsidRPr="00000000" w14:paraId="00000379">
      <w:pPr>
        <w:spacing w:after="160" w:line="240" w:lineRule="auto"/>
        <w:jc w:val="both"/>
        <w:rPr>
          <w:sz w:val="20"/>
          <w:szCs w:val="20"/>
        </w:rPr>
      </w:pPr>
      <w:r w:rsidDel="00000000" w:rsidR="00000000" w:rsidRPr="00000000">
        <w:rPr>
          <w:sz w:val="20"/>
          <w:szCs w:val="20"/>
          <w:vertAlign w:val="superscript"/>
          <w:rtl w:val="0"/>
        </w:rPr>
        <w:t xml:space="preserve">3</w:t>
      </w:r>
      <w:r w:rsidDel="00000000" w:rsidR="00000000" w:rsidRPr="00000000">
        <w:rPr>
          <w:sz w:val="20"/>
          <w:szCs w:val="20"/>
          <w:rtl w:val="0"/>
        </w:rPr>
        <w:t xml:space="preserve"> </w:t>
      </w:r>
      <w:r w:rsidDel="00000000" w:rsidR="00000000" w:rsidRPr="00000000">
        <w:rPr>
          <w:sz w:val="20"/>
          <w:szCs w:val="20"/>
          <w:rtl w:val="0"/>
        </w:rPr>
        <w:t xml:space="preserve">Royal Belgian Institute of Natural Sciences, Vautierstraat 29, B-1000 Brussel, Belgium</w:t>
      </w:r>
    </w:p>
    <w:p w:rsidR="00000000" w:rsidDel="00000000" w:rsidP="00000000" w:rsidRDefault="00000000" w:rsidRPr="00000000" w14:paraId="0000037A">
      <w:pPr>
        <w:jc w:val="both"/>
        <w:rPr>
          <w:b w:val="1"/>
        </w:rPr>
      </w:pPr>
      <w:r w:rsidDel="00000000" w:rsidR="00000000" w:rsidRPr="00000000">
        <w:rPr>
          <w:rtl w:val="0"/>
        </w:rPr>
      </w:r>
    </w:p>
    <w:p w:rsidR="00000000" w:rsidDel="00000000" w:rsidP="00000000" w:rsidRDefault="00000000" w:rsidRPr="00000000" w14:paraId="0000037B">
      <w:pPr>
        <w:jc w:val="both"/>
        <w:rPr>
          <w:i w:val="1"/>
          <w:u w:val="single"/>
        </w:rPr>
      </w:pPr>
      <w:r w:rsidDel="00000000" w:rsidR="00000000" w:rsidRPr="00000000">
        <w:rPr>
          <w:i w:val="1"/>
          <w:u w:val="single"/>
          <w:rtl w:val="0"/>
        </w:rPr>
        <w:t xml:space="preserve">Stable isotope insights into goat birth seasonality at the Early Byzantine site of Sagalassos, SW Turkey </w:t>
      </w:r>
    </w:p>
    <w:p w:rsidR="00000000" w:rsidDel="00000000" w:rsidP="00000000" w:rsidRDefault="00000000" w:rsidRPr="00000000" w14:paraId="0000037C">
      <w:pPr>
        <w:spacing w:after="160" w:line="240" w:lineRule="auto"/>
        <w:jc w:val="both"/>
        <w:rPr/>
      </w:pPr>
      <w:r w:rsidDel="00000000" w:rsidR="00000000" w:rsidRPr="00000000">
        <w:rPr>
          <w:rtl w:val="0"/>
        </w:rPr>
        <w:t xml:space="preserve">The seasonality of birth, a key parameter when addressing past domestic livestock management, can be investigated through serial stable oxygen isotope analysis in tooth enamel. The assessment of the season of births requires furthermore the availability of modern reference data set, existing for cattle, sheep, pigs or llamas. The ancient site of Sagalassos, in the Taurus Mountains (SW Turkey), has delivered a large assemblage of sheep and goat remains. The osteological analysis revealed a predominance of goat over sheep, with a ratio varying between 65 and 90% over time. Goats and sheep were kept at an old age for the production of milk, wool/hair, as well as for horn-working and hide exploitation. A stable oxygen isotope (δ</w:t>
      </w:r>
      <w:r w:rsidDel="00000000" w:rsidR="00000000" w:rsidRPr="00000000">
        <w:rPr>
          <w:vertAlign w:val="superscript"/>
          <w:rtl w:val="0"/>
        </w:rPr>
        <w:t xml:space="preserve">18</w:t>
      </w:r>
      <w:r w:rsidDel="00000000" w:rsidR="00000000" w:rsidRPr="00000000">
        <w:rPr>
          <w:rtl w:val="0"/>
        </w:rPr>
        <w:t xml:space="preserve">O) analysis focussing on mandibular M2s was undertaken to investigate goat and sheep livestock demographic management during the Early Byzantine period (450-680 CE). ZooMS was used to confirm specific attribution of selected specimens (ten goats, eight sheep). Ten modern hair goats collected in the late 1990s in the context of a research project on small ruminant herd management in the Eastern Mediterranean were also sampled to provide a modern comparative for the assessment of birth season. The modern goat δ</w:t>
      </w:r>
      <w:r w:rsidDel="00000000" w:rsidR="00000000" w:rsidRPr="00000000">
        <w:rPr>
          <w:vertAlign w:val="superscript"/>
          <w:rtl w:val="0"/>
        </w:rPr>
        <w:t xml:space="preserve">18</w:t>
      </w:r>
      <w:r w:rsidDel="00000000" w:rsidR="00000000" w:rsidRPr="00000000">
        <w:rPr>
          <w:rtl w:val="0"/>
        </w:rPr>
        <w:t xml:space="preserve">O sequences were modelled according to Balasse et al. (2012) and compared with the existing sheep reference data set. The comparison suggests a different timing in the isotope record between sheep and goats and argues for the use of species-specific comparative for the assessment of birth season in archaeological herds. The comparison of the modern and archaeological goat δ</w:t>
      </w:r>
      <w:r w:rsidDel="00000000" w:rsidR="00000000" w:rsidRPr="00000000">
        <w:rPr>
          <w:vertAlign w:val="superscript"/>
          <w:rtl w:val="0"/>
        </w:rPr>
        <w:t xml:space="preserve">18</w:t>
      </w:r>
      <w:r w:rsidDel="00000000" w:rsidR="00000000" w:rsidRPr="00000000">
        <w:rPr>
          <w:rtl w:val="0"/>
        </w:rPr>
        <w:t xml:space="preserve">O sequences indicate a quite restricted season of births in spring for the latter. On the contrary, sheep births were spread out over roughly six months, from late winter/early spring to early-/mid-summer. More modern goat comparatives are needed to enrich this dataset.</w:t>
      </w:r>
    </w:p>
    <w:p w:rsidR="00000000" w:rsidDel="00000000" w:rsidP="00000000" w:rsidRDefault="00000000" w:rsidRPr="00000000" w14:paraId="0000037D">
      <w:pPr>
        <w:spacing w:after="160" w:line="240" w:lineRule="auto"/>
        <w:jc w:val="both"/>
        <w:rPr>
          <w:i w:val="1"/>
        </w:rPr>
      </w:pPr>
      <w:r w:rsidDel="00000000" w:rsidR="00000000" w:rsidRPr="00000000">
        <w:rPr>
          <w:i w:val="1"/>
          <w:rtl w:val="0"/>
        </w:rPr>
        <w:t xml:space="preserve">Keywords: Stable oxygen isotope, tooth enamel, birth seasonality, goat, Sagalassos.</w:t>
      </w:r>
    </w:p>
    <w:p w:rsidR="00000000" w:rsidDel="00000000" w:rsidP="00000000" w:rsidRDefault="00000000" w:rsidRPr="00000000" w14:paraId="0000037E">
      <w:pPr>
        <w:jc w:val="both"/>
        <w:rPr/>
      </w:pPr>
      <w:r w:rsidDel="00000000" w:rsidR="00000000" w:rsidRPr="00000000">
        <w:rPr>
          <w:rtl w:val="0"/>
        </w:rPr>
      </w:r>
    </w:p>
    <w:p w:rsidR="00000000" w:rsidDel="00000000" w:rsidP="00000000" w:rsidRDefault="00000000" w:rsidRPr="00000000" w14:paraId="0000037F">
      <w:pPr>
        <w:jc w:val="both"/>
        <w:rPr/>
      </w:pPr>
      <w:r w:rsidDel="00000000" w:rsidR="00000000" w:rsidRPr="00000000">
        <w:rPr>
          <w:rtl w:val="0"/>
        </w:rPr>
      </w:r>
    </w:p>
    <w:p w:rsidR="00000000" w:rsidDel="00000000" w:rsidP="00000000" w:rsidRDefault="00000000" w:rsidRPr="00000000" w14:paraId="00000380">
      <w:pPr>
        <w:jc w:val="both"/>
        <w:rPr>
          <w:b w:val="1"/>
        </w:rPr>
      </w:pPr>
      <w:r w:rsidDel="00000000" w:rsidR="00000000" w:rsidRPr="00000000">
        <w:rPr>
          <w:b w:val="1"/>
          <w:rtl w:val="0"/>
        </w:rPr>
        <w:t xml:space="preserve">Canan Çakırlar, Thom Brongers, Suzanne Pilaar Birch</w:t>
      </w:r>
    </w:p>
    <w:p w:rsidR="00000000" w:rsidDel="00000000" w:rsidP="00000000" w:rsidRDefault="00000000" w:rsidRPr="00000000" w14:paraId="00000381">
      <w:pPr>
        <w:jc w:val="both"/>
        <w:rPr>
          <w:sz w:val="20"/>
          <w:szCs w:val="20"/>
        </w:rPr>
      </w:pPr>
      <w:r w:rsidDel="00000000" w:rsidR="00000000" w:rsidRPr="00000000">
        <w:rPr>
          <w:sz w:val="20"/>
          <w:szCs w:val="20"/>
          <w:rtl w:val="0"/>
        </w:rPr>
        <w:t xml:space="preserve">University of Groningen, The Netherlands</w:t>
      </w:r>
    </w:p>
    <w:p w:rsidR="00000000" w:rsidDel="00000000" w:rsidP="00000000" w:rsidRDefault="00000000" w:rsidRPr="00000000" w14:paraId="00000382">
      <w:pPr>
        <w:jc w:val="both"/>
        <w:rPr>
          <w:b w:val="1"/>
        </w:rPr>
      </w:pPr>
      <w:r w:rsidDel="00000000" w:rsidR="00000000" w:rsidRPr="00000000">
        <w:rPr>
          <w:rtl w:val="0"/>
        </w:rPr>
      </w:r>
    </w:p>
    <w:p w:rsidR="00000000" w:rsidDel="00000000" w:rsidP="00000000" w:rsidRDefault="00000000" w:rsidRPr="00000000" w14:paraId="00000383">
      <w:pPr>
        <w:jc w:val="both"/>
        <w:rPr>
          <w:i w:val="1"/>
          <w:u w:val="single"/>
        </w:rPr>
      </w:pPr>
      <w:r w:rsidDel="00000000" w:rsidR="00000000" w:rsidRPr="00000000">
        <w:rPr>
          <w:i w:val="1"/>
          <w:u w:val="single"/>
          <w:rtl w:val="0"/>
        </w:rPr>
        <w:t xml:space="preserve">Neolithic herd management and foraging ecologies of wild fauna in Istanbul around 8.2k BP</w:t>
      </w:r>
    </w:p>
    <w:p w:rsidR="00000000" w:rsidDel="00000000" w:rsidP="00000000" w:rsidRDefault="00000000" w:rsidRPr="00000000" w14:paraId="00000384">
      <w:pPr>
        <w:jc w:val="both"/>
        <w:rPr/>
      </w:pPr>
      <w:r w:rsidDel="00000000" w:rsidR="00000000" w:rsidRPr="00000000">
        <w:rPr>
          <w:rtl w:val="0"/>
        </w:rPr>
        <w:t xml:space="preserve">Istanbul, Yenikapı, is one of the few excavated coastal 7th millennium BC sites located west of Çatalhöyük en route to the Balkan Peninsula. The Neolithization of Istanbul overlapped with the 8.2k BP ‘event’, which accelerated the formation of Bosporus as we know it today -connecting the Black Sea with the Aegean. How did herd management and foraging ecologies of wild fauna change between 6800-5700 cal BC in Istanbul? In this paper we address these questions using zooarchaeology, and stable isotope data (N, C, O) from recent rescue excavations at Yenikapı, and legacy assemblages from Fikirtepe.</w:t>
      </w:r>
    </w:p>
    <w:p w:rsidR="00000000" w:rsidDel="00000000" w:rsidP="00000000" w:rsidRDefault="00000000" w:rsidRPr="00000000" w14:paraId="00000385">
      <w:pPr>
        <w:jc w:val="both"/>
        <w:rPr>
          <w:i w:val="1"/>
        </w:rPr>
      </w:pPr>
      <w:r w:rsidDel="00000000" w:rsidR="00000000" w:rsidRPr="00000000">
        <w:rPr>
          <w:i w:val="1"/>
          <w:rtl w:val="0"/>
        </w:rPr>
        <w:t xml:space="preserve">Keywords: Neolithic, Istanbul, herding, climate change, foraging ecology.</w:t>
      </w:r>
    </w:p>
    <w:p w:rsidR="00000000" w:rsidDel="00000000" w:rsidP="00000000" w:rsidRDefault="00000000" w:rsidRPr="00000000" w14:paraId="00000386">
      <w:pPr>
        <w:jc w:val="both"/>
        <w:rPr/>
      </w:pPr>
      <w:r w:rsidDel="00000000" w:rsidR="00000000" w:rsidRPr="00000000">
        <w:rPr>
          <w:rtl w:val="0"/>
        </w:rPr>
      </w:r>
    </w:p>
    <w:p w:rsidR="00000000" w:rsidDel="00000000" w:rsidP="00000000" w:rsidRDefault="00000000" w:rsidRPr="00000000" w14:paraId="00000387">
      <w:pPr>
        <w:jc w:val="both"/>
        <w:rPr/>
      </w:pPr>
      <w:r w:rsidDel="00000000" w:rsidR="00000000" w:rsidRPr="00000000">
        <w:rPr>
          <w:rtl w:val="0"/>
        </w:rPr>
      </w:r>
    </w:p>
    <w:p w:rsidR="00000000" w:rsidDel="00000000" w:rsidP="00000000" w:rsidRDefault="00000000" w:rsidRPr="00000000" w14:paraId="00000388">
      <w:pPr>
        <w:jc w:val="both"/>
        <w:rPr>
          <w:b w:val="1"/>
        </w:rPr>
      </w:pPr>
      <w:r w:rsidDel="00000000" w:rsidR="00000000" w:rsidRPr="00000000">
        <w:rPr>
          <w:b w:val="1"/>
          <w:rtl w:val="0"/>
        </w:rPr>
        <w:t xml:space="preserve">Adriana Leite1,2, António Valera3,1, Nelson Almeida4, Cláudia Relvado1, Rosalind E. Gillis5,1</w:t>
      </w:r>
    </w:p>
    <w:p w:rsidR="00000000" w:rsidDel="00000000" w:rsidP="00000000" w:rsidRDefault="00000000" w:rsidRPr="00000000" w14:paraId="00000389">
      <w:pPr>
        <w:jc w:val="both"/>
        <w:rPr>
          <w:sz w:val="20"/>
          <w:szCs w:val="20"/>
        </w:rPr>
      </w:pPr>
      <w:r w:rsidDel="00000000" w:rsidR="00000000" w:rsidRPr="00000000">
        <w:rPr>
          <w:sz w:val="20"/>
          <w:szCs w:val="20"/>
          <w:rtl w:val="0"/>
        </w:rPr>
        <w:t xml:space="preserve">1Interdisciplinary Center for Archaeology and Evolution of Human Behaviour (ICArEHB), University of Algarve, Portugal</w:t>
      </w:r>
    </w:p>
    <w:p w:rsidR="00000000" w:rsidDel="00000000" w:rsidP="00000000" w:rsidRDefault="00000000" w:rsidRPr="00000000" w14:paraId="0000038A">
      <w:pPr>
        <w:jc w:val="both"/>
        <w:rPr>
          <w:sz w:val="20"/>
          <w:szCs w:val="20"/>
        </w:rPr>
      </w:pPr>
      <w:r w:rsidDel="00000000" w:rsidR="00000000" w:rsidRPr="00000000">
        <w:rPr>
          <w:sz w:val="20"/>
          <w:szCs w:val="20"/>
          <w:rtl w:val="0"/>
        </w:rPr>
        <w:t xml:space="preserve">2Central European Institute of Technology, Masaryk University, Brno, Czech Republic</w:t>
      </w:r>
    </w:p>
    <w:p w:rsidR="00000000" w:rsidDel="00000000" w:rsidP="00000000" w:rsidRDefault="00000000" w:rsidRPr="00000000" w14:paraId="0000038B">
      <w:pPr>
        <w:jc w:val="both"/>
        <w:rPr>
          <w:sz w:val="20"/>
          <w:szCs w:val="20"/>
        </w:rPr>
      </w:pPr>
      <w:r w:rsidDel="00000000" w:rsidR="00000000" w:rsidRPr="00000000">
        <w:rPr>
          <w:sz w:val="20"/>
          <w:szCs w:val="20"/>
          <w:rtl w:val="0"/>
        </w:rPr>
        <w:t xml:space="preserve">3Era Arqueologia SA, Cruz Quebrada, Portugal</w:t>
      </w:r>
    </w:p>
    <w:p w:rsidR="00000000" w:rsidDel="00000000" w:rsidP="00000000" w:rsidRDefault="00000000" w:rsidRPr="00000000" w14:paraId="0000038C">
      <w:pPr>
        <w:jc w:val="both"/>
        <w:rPr>
          <w:sz w:val="20"/>
          <w:szCs w:val="20"/>
        </w:rPr>
      </w:pPr>
      <w:r w:rsidDel="00000000" w:rsidR="00000000" w:rsidRPr="00000000">
        <w:rPr>
          <w:sz w:val="20"/>
          <w:szCs w:val="20"/>
          <w:rtl w:val="0"/>
        </w:rPr>
        <w:t xml:space="preserve">4 UNIARQ, Center for Archaeology University of Lisbon, Lisbon, Portugal</w:t>
      </w:r>
    </w:p>
    <w:p w:rsidR="00000000" w:rsidDel="00000000" w:rsidP="00000000" w:rsidRDefault="00000000" w:rsidRPr="00000000" w14:paraId="0000038D">
      <w:pPr>
        <w:jc w:val="both"/>
        <w:rPr>
          <w:sz w:val="20"/>
          <w:szCs w:val="20"/>
        </w:rPr>
      </w:pPr>
      <w:r w:rsidDel="00000000" w:rsidR="00000000" w:rsidRPr="00000000">
        <w:rPr>
          <w:sz w:val="20"/>
          <w:szCs w:val="20"/>
          <w:rtl w:val="0"/>
        </w:rPr>
        <w:t xml:space="preserve">5German Archaeological Institute, Berlin, Germany</w:t>
      </w:r>
    </w:p>
    <w:p w:rsidR="00000000" w:rsidDel="00000000" w:rsidP="00000000" w:rsidRDefault="00000000" w:rsidRPr="00000000" w14:paraId="0000038E">
      <w:pPr>
        <w:jc w:val="both"/>
        <w:rPr/>
      </w:pPr>
      <w:r w:rsidDel="00000000" w:rsidR="00000000" w:rsidRPr="00000000">
        <w:rPr>
          <w:rtl w:val="0"/>
        </w:rPr>
      </w:r>
    </w:p>
    <w:p w:rsidR="00000000" w:rsidDel="00000000" w:rsidP="00000000" w:rsidRDefault="00000000" w:rsidRPr="00000000" w14:paraId="0000038F">
      <w:pPr>
        <w:jc w:val="both"/>
        <w:rPr>
          <w:i w:val="1"/>
          <w:u w:val="single"/>
        </w:rPr>
      </w:pPr>
      <w:r w:rsidDel="00000000" w:rsidR="00000000" w:rsidRPr="00000000">
        <w:rPr>
          <w:i w:val="1"/>
          <w:u w:val="single"/>
          <w:rtl w:val="0"/>
        </w:rPr>
        <w:t xml:space="preserve">Investigating sheep management practices at the site of Perdigões (4th millennium BC, South Portugal) via sequential carbon and oxygen isotopic analyses of tooth enamel </w:t>
      </w:r>
    </w:p>
    <w:p w:rsidR="00000000" w:rsidDel="00000000" w:rsidP="00000000" w:rsidRDefault="00000000" w:rsidRPr="00000000" w14:paraId="00000390">
      <w:pPr>
        <w:jc w:val="both"/>
        <w:rPr/>
      </w:pPr>
      <w:r w:rsidDel="00000000" w:rsidR="00000000" w:rsidRPr="00000000">
        <w:rPr>
          <w:rtl w:val="0"/>
        </w:rPr>
        <w:t xml:space="preserve">The site of Perdigões (Reguengos de Monsaraz, South Portugal) was a centre of social and ceremonial importance with diverse funeral traditions, occupied from the middle 4th and to the 3rd millennium BC. Previous strontium isotope analysis of animals and humans show a significant degree of mobility, which combined with artefactual evidence (presence of several exotic materials: ivory, cinnabar, amber), demonstrates that Perdigões was a part of a large interaction network of settlements that may have spanned Iberia and Northern Africa. Stable isotopic analysis of bone collagen have shown subtle differences in husbandry practices between domesticated species. However, to date, the role of sheep, a pivotal species in Neolithic herds in Iberia, and the reconstruction of their seasonal movement habits remain to be addressed in this context. The present study aims at providing a more detailed picture of sheep husbandry in Perdigões and possible variations related to seasonal mobility. Carbon and oxygen isotopic analysis of sequential enamel samples of seven individuals was performed to obtain a detailed record of seasonal variations during a short period of time. Overall, ẟ13C and ẟ18O values follow the same trend: enriched ẟ13C values are consistent with higher ẟ18O values (warmer months), whereas a decrease in ẟ18O values (colder months) is followed by a depletion in ẟ13C values. The results exhibit shifts in the isotopic composition of caprine diet throughout the annual cycle, thus possibly suggesting seasonal movement due to the diversity of the type of fodders consumed. Further research focused on increasing the sample size and studying other stable isotopes (i.e., strontium and nitrogen) would enable to comprehend the seasonal variability detected in this study and possibly relate it to the mobility of humans and animals, as previously highlighted.</w:t>
      </w:r>
    </w:p>
    <w:p w:rsidR="00000000" w:rsidDel="00000000" w:rsidP="00000000" w:rsidRDefault="00000000" w:rsidRPr="00000000" w14:paraId="00000391">
      <w:pPr>
        <w:jc w:val="both"/>
        <w:rPr>
          <w:i w:val="1"/>
        </w:rPr>
      </w:pPr>
      <w:r w:rsidDel="00000000" w:rsidR="00000000" w:rsidRPr="00000000">
        <w:rPr>
          <w:i w:val="1"/>
          <w:rtl w:val="0"/>
        </w:rPr>
        <w:t xml:space="preserve">Keywords: Pasturing practices; Seasonality; Stable isotope analysis; Neolithic/Chalcolithic.</w:t>
      </w:r>
    </w:p>
    <w:p w:rsidR="00000000" w:rsidDel="00000000" w:rsidP="00000000" w:rsidRDefault="00000000" w:rsidRPr="00000000" w14:paraId="00000392">
      <w:pPr>
        <w:jc w:val="both"/>
        <w:rPr>
          <w:b w:val="1"/>
        </w:rPr>
      </w:pPr>
      <w:r w:rsidDel="00000000" w:rsidR="00000000" w:rsidRPr="00000000">
        <w:rPr>
          <w:rtl w:val="0"/>
        </w:rPr>
      </w:r>
    </w:p>
    <w:p w:rsidR="00000000" w:rsidDel="00000000" w:rsidP="00000000" w:rsidRDefault="00000000" w:rsidRPr="00000000" w14:paraId="00000393">
      <w:pPr>
        <w:jc w:val="both"/>
        <w:rPr/>
      </w:pPr>
      <w:r w:rsidDel="00000000" w:rsidR="00000000" w:rsidRPr="00000000">
        <w:rPr>
          <w:rtl w:val="0"/>
        </w:rPr>
      </w:r>
    </w:p>
    <w:p w:rsidR="00000000" w:rsidDel="00000000" w:rsidP="00000000" w:rsidRDefault="00000000" w:rsidRPr="00000000" w14:paraId="00000394">
      <w:pPr>
        <w:jc w:val="both"/>
        <w:rPr>
          <w:b w:val="1"/>
        </w:rPr>
      </w:pPr>
      <w:r w:rsidDel="00000000" w:rsidR="00000000" w:rsidRPr="00000000">
        <w:rPr>
          <w:rtl w:val="0"/>
        </w:rPr>
      </w:r>
    </w:p>
    <w:p w:rsidR="00000000" w:rsidDel="00000000" w:rsidP="00000000" w:rsidRDefault="00000000" w:rsidRPr="00000000" w14:paraId="00000395">
      <w:pPr>
        <w:jc w:val="both"/>
        <w:rPr/>
      </w:pPr>
      <w:r w:rsidDel="00000000" w:rsidR="00000000" w:rsidRPr="00000000">
        <w:rPr>
          <w:rtl w:val="0"/>
        </w:rPr>
      </w:r>
    </w:p>
    <w:p w:rsidR="00000000" w:rsidDel="00000000" w:rsidP="00000000" w:rsidRDefault="00000000" w:rsidRPr="00000000" w14:paraId="00000396">
      <w:pPr>
        <w:jc w:val="both"/>
        <w:rPr/>
      </w:pPr>
      <w:r w:rsidDel="00000000" w:rsidR="00000000" w:rsidRPr="00000000">
        <w:rPr>
          <w:rtl w:val="0"/>
        </w:rPr>
      </w:r>
    </w:p>
    <w:sectPr>
      <w:pgSz w:h="15840" w:w="12240" w:orient="portrait"/>
      <w:pgMar w:bottom="1133.8582677165355" w:top="850.3937007874016" w:left="1133.8582677165355" w:right="1417.322834645669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ourier New"/>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character" w:styleId="CommentReference">
    <w:name w:val="annotation reference"/>
    <w:basedOn w:val="DefaultParagraphFont"/>
    <w:uiPriority w:val="99"/>
    <w:semiHidden w:val="1"/>
    <w:unhideWhenUsed w:val="1"/>
    <w:rsid w:val="00C23431"/>
    <w:rPr>
      <w:sz w:val="16"/>
      <w:szCs w:val="16"/>
    </w:rPr>
  </w:style>
  <w:style w:type="paragraph" w:styleId="CommentText">
    <w:name w:val="annotation text"/>
    <w:basedOn w:val="Normal"/>
    <w:link w:val="CommentTextChar"/>
    <w:uiPriority w:val="99"/>
    <w:semiHidden w:val="1"/>
    <w:unhideWhenUsed w:val="1"/>
    <w:rsid w:val="00C23431"/>
    <w:pPr>
      <w:spacing w:line="240" w:lineRule="auto"/>
    </w:pPr>
    <w:rPr>
      <w:sz w:val="20"/>
      <w:szCs w:val="20"/>
    </w:rPr>
  </w:style>
  <w:style w:type="character" w:styleId="CommentTextChar" w:customStyle="1">
    <w:name w:val="Comment Text Char"/>
    <w:basedOn w:val="DefaultParagraphFont"/>
    <w:link w:val="CommentText"/>
    <w:uiPriority w:val="99"/>
    <w:semiHidden w:val="1"/>
    <w:rsid w:val="00C23431"/>
    <w:rPr>
      <w:sz w:val="20"/>
      <w:szCs w:val="20"/>
    </w:rPr>
  </w:style>
  <w:style w:type="paragraph" w:styleId="BalloonText">
    <w:name w:val="Balloon Text"/>
    <w:basedOn w:val="Normal"/>
    <w:link w:val="BalloonTextChar"/>
    <w:uiPriority w:val="99"/>
    <w:semiHidden w:val="1"/>
    <w:unhideWhenUsed w:val="1"/>
    <w:rsid w:val="00C23431"/>
    <w:pPr>
      <w:spacing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C23431"/>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A328B4"/>
    <w:rPr>
      <w:b w:val="1"/>
      <w:bCs w:val="1"/>
    </w:rPr>
  </w:style>
  <w:style w:type="character" w:styleId="CommentSubjectChar" w:customStyle="1">
    <w:name w:val="Comment Subject Char"/>
    <w:basedOn w:val="CommentTextChar"/>
    <w:link w:val="CommentSubject"/>
    <w:uiPriority w:val="99"/>
    <w:semiHidden w:val="1"/>
    <w:rsid w:val="00A328B4"/>
    <w:rPr>
      <w:b w:val="1"/>
      <w:bCs w:val="1"/>
      <w:sz w:val="20"/>
      <w:szCs w:val="20"/>
    </w:rPr>
  </w:style>
  <w:style w:type="paragraph" w:styleId="NoSpacing">
    <w:name w:val="No Spacing"/>
    <w:uiPriority w:val="1"/>
    <w:qFormat w:val="1"/>
    <w:rsid w:val="00566E0F"/>
    <w:pPr>
      <w:spacing w:line="240" w:lineRule="auto"/>
    </w:pPr>
    <w:rPr>
      <w:rFonts w:asciiTheme="minorHAnsi" w:cstheme="minorBidi" w:eastAsiaTheme="minorHAnsi" w:hAnsiTheme="minorHAnsi"/>
      <w:sz w:val="20"/>
      <w:szCs w:val="20"/>
      <w:lang w:eastAsia="en-US" w:val="fr-FR"/>
    </w:rPr>
  </w:style>
  <w:style w:type="character" w:styleId="Hyperlink">
    <w:name w:val="Hyperlink"/>
    <w:basedOn w:val="DefaultParagraphFont"/>
    <w:uiPriority w:val="99"/>
    <w:semiHidden w:val="1"/>
    <w:unhideWhenUsed w:val="1"/>
    <w:rsid w:val="00993504"/>
    <w:rPr>
      <w:color w:val="0000ff"/>
      <w:u w:val="single"/>
    </w:rPr>
  </w:style>
  <w:style w:type="paragraph" w:styleId="Header">
    <w:name w:val="header"/>
    <w:basedOn w:val="Normal"/>
    <w:link w:val="HeaderChar"/>
    <w:uiPriority w:val="99"/>
    <w:unhideWhenUsed w:val="1"/>
    <w:rsid w:val="002A5F19"/>
    <w:pPr>
      <w:tabs>
        <w:tab w:val="center" w:pos="4680"/>
        <w:tab w:val="right" w:pos="9360"/>
      </w:tabs>
      <w:spacing w:line="240" w:lineRule="auto"/>
    </w:pPr>
  </w:style>
  <w:style w:type="character" w:styleId="HeaderChar" w:customStyle="1">
    <w:name w:val="Header Char"/>
    <w:basedOn w:val="DefaultParagraphFont"/>
    <w:link w:val="Header"/>
    <w:uiPriority w:val="99"/>
    <w:rsid w:val="002A5F19"/>
  </w:style>
  <w:style w:type="paragraph" w:styleId="Footer">
    <w:name w:val="footer"/>
    <w:basedOn w:val="Normal"/>
    <w:link w:val="FooterChar"/>
    <w:uiPriority w:val="99"/>
    <w:unhideWhenUsed w:val="1"/>
    <w:rsid w:val="002A5F19"/>
    <w:pPr>
      <w:tabs>
        <w:tab w:val="center" w:pos="4680"/>
        <w:tab w:val="right" w:pos="9360"/>
      </w:tabs>
      <w:spacing w:line="240" w:lineRule="auto"/>
    </w:pPr>
  </w:style>
  <w:style w:type="character" w:styleId="FooterChar" w:customStyle="1">
    <w:name w:val="Footer Char"/>
    <w:basedOn w:val="DefaultParagraphFont"/>
    <w:link w:val="Footer"/>
    <w:uiPriority w:val="99"/>
    <w:rsid w:val="002A5F19"/>
  </w:style>
  <w:style w:type="paragraph" w:styleId="ListParagraph">
    <w:name w:val="List Paragraph"/>
    <w:basedOn w:val="Normal"/>
    <w:uiPriority w:val="34"/>
    <w:qFormat w:val="1"/>
    <w:rsid w:val="00C90F6D"/>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XsAsEc/enf51Kfc+C83b0auCO6g==">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2023-03-02T13:43:00Z</dcterms:created>
  <dc:creator>Microsoft</dc:creator>
</cp:coreProperties>
</file>